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media/image1.wmf" ContentType="image/x-wmf"/>
  <Override PartName="/word/media/image2.png" ContentType="image/png"/>
  <Override PartName="/word/media/image3.wmf" ContentType="image/x-wmf"/>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4</DocSecurity>
  <Lines>0</Lines>
  <Paragraphs>0</Paragraphs>
  <ScaleCrop>false</ScaleCrop>
  <Company>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keywords>
  </cp:keywords>
  <dcterms:created xsi:type="dcterms:W3CDTF">2026-04-28T16:08:26Z</dcterms:created>
  <dcterms:modified xsi:type="dcterms:W3CDTF">2026-04-28T16:08:26Z</dcterms:modified>
</cp:coreProperties>
</file>

<file path=docProps\custom.xml><?xml version="1.0" encoding="utf-8"?>
<Properties xmlns="http://schemas.openxmlformats.org/officeDocument/2006/custom-properties" xmlns:vt="http://schemas.openxmlformats.org/officeDocument/2006/docPropsVTypes"/>
</file>

<file path=word\_rels\document.xml.rels><?xml version="1.0" encoding="UTF-8"?><Relationships xmlns="http://schemas.openxmlformats.org/package/2006/relationships"><Relationship Type="http://schemas.openxmlformats.org/officeDocument/2006/relationships/numbering" Id="rId21" Target="numbering.xml" /><Relationship Type="http://schemas.openxmlformats.org/officeDocument/2006/relationships/styles" Id="rId20" Target="styles.xml" /><Relationship Type="http://schemas.openxmlformats.org/officeDocument/2006/relationships/settings" Id="rId19" Target="settings.xml" /><Relationship Type="http://schemas.openxmlformats.org/officeDocument/2006/relationships/webSettings" Id="rId18" Target="webSettings.xml" /><Relationship Type="http://schemas.openxmlformats.org/officeDocument/2006/relationships/fontTable" Id="rId17" Target="fontTable.xml" /><Relationship Type="http://schemas.openxmlformats.org/officeDocument/2006/relationships/theme" Id="rId16" Target="theme/theme1.xml" /><Relationship Type="http://schemas.openxmlformats.org/officeDocument/2006/relationships/footnotes" Id="rId15" Target="footnotes.xml" /><Relationship Type="http://schemas.openxmlformats.org/officeDocument/2006/relationships/comments" Id="rId14" Target="comments.xml" /><Relationship Id="rId13" Target="header1.xml" Type="http://schemas.openxmlformats.org/officeDocument/2006/relationships/header" /><Relationship Id="rId7" Target="media/image1.wmf" Type="http://schemas.openxmlformats.org/officeDocument/2006/relationships/image" /><Relationship Id="rId10" Target="media/image3.wmf" Type="http://schemas.openxmlformats.org/officeDocument/2006/relationships/image" /><Relationship Id="rId9" Target="media/image2.png" Type="http://schemas.openxmlformats.org/officeDocument/2006/relationships/image" /></Relationships>
</file>

<file path=word\_rels\footnotes.xml.rels><?xml version="1.0" encoding="UTF-8"?><Relationships xmlns="http://schemas.openxmlformats.org/package/2006/relationships" />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2" w:name="business-report-reference-template"/>
    <w:p>
      <w:pPr>
        <w:pStyle w:val="1"/>
      </w:pPr>
      <w:r>
        <w:t xml:space="preserve">Business Report Reference Template</w:t>
      </w:r>
    </w:p>
    <w:p>
      <w:pPr>
        <w:pStyle w:val="FirstParagraph"/>
      </w:pPr>
      <w:r>
        <w:t xml:space="preserve">This reference DOCX is guidance-derived, not an official Word attachment. It is designed for business plans, board summaries, investment memoranda, project business cases, and customer-facing commercial reports.</w:t>
      </w:r>
    </w:p>
    <w:p>
      <w:pPr>
        <w:pStyle w:val="BodyText"/>
      </w:pPr>
      <w:r>
        <w:t xml:space="preserve">Primary authorities considered: the U.S. Small Business Administration business plan guidance, HM Treasury Green Book and business case guidance using the Five Case Model, Microsoft Word business template conventions, and the 2023 NDRC feasibility-report outline when China-facing investment or project analysis is required.</w:t>
      </w:r>
    </w:p>
    <w:bookmarkEnd w:id="22"/>
    <w:bookmarkStart w:id="23" w:name="executive-summary"/>
    <w:p>
      <w:pPr>
        <w:pStyle w:val="1"/>
      </w:pPr>
      <w:r>
        <w:t xml:space="preserve">1. Executive Summary</w:t>
      </w:r>
    </w:p>
    <w:p>
      <w:pPr>
        <w:pStyle w:val="FirstParagraph"/>
      </w:pPr>
      <w:r>
        <w:t xml:space="preserve">State the opportunity, recommendation, decision requested, expected outcome, investment or resourcing need, key risks, and the time frame for review. Write this section so a sponsor can understand the proposal without reading the full report first.</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Decision Point</w:t>
            </w:r>
          </w:p>
        </w:tc>
        <w:tc>
          <w:tcPr/>
          <w:p>
            <w:pPr>
              <w:pStyle w:val="Compact"/>
            </w:pPr>
            <w:r>
              <w:t xml:space="preserve">Summary</w:t>
            </w:r>
          </w:p>
        </w:tc>
      </w:tr>
      <w:tr>
        <w:tc>
          <w:tcPr/>
          <w:p>
            <w:pPr>
              <w:pStyle w:val="Compact"/>
            </w:pPr>
            <w:r>
              <w:t xml:space="preserve">Proposal</w:t>
            </w:r>
          </w:p>
        </w:tc>
        <w:tc>
          <w:tcPr/>
          <w:p>
            <w:pPr>
              <w:pStyle w:val="Compact"/>
            </w:pPr>
            <w:r>
              <w:t xml:space="preserve">What should be approved or changed</w:t>
            </w:r>
          </w:p>
        </w:tc>
      </w:tr>
      <w:tr>
        <w:tc>
          <w:tcPr/>
          <w:p>
            <w:pPr>
              <w:pStyle w:val="Compact"/>
            </w:pPr>
            <w:r>
              <w:t xml:space="preserve">Strategic fit</w:t>
            </w:r>
          </w:p>
        </w:tc>
        <w:tc>
          <w:tcPr/>
          <w:p>
            <w:pPr>
              <w:pStyle w:val="Compact"/>
            </w:pPr>
            <w:r>
              <w:t xml:space="preserve">Why this aligns with the organization or market</w:t>
            </w:r>
          </w:p>
        </w:tc>
      </w:tr>
      <w:tr>
        <w:tc>
          <w:tcPr/>
          <w:p>
            <w:pPr>
              <w:pStyle w:val="Compact"/>
            </w:pPr>
            <w:r>
              <w:t xml:space="preserve">Value</w:t>
            </w:r>
          </w:p>
        </w:tc>
        <w:tc>
          <w:tcPr/>
          <w:p>
            <w:pPr>
              <w:pStyle w:val="Compact"/>
            </w:pPr>
            <w:r>
              <w:t xml:space="preserve">Revenue, savings, service quality, resilience, or policy outcome</w:t>
            </w:r>
          </w:p>
        </w:tc>
      </w:tr>
      <w:tr>
        <w:tc>
          <w:tcPr/>
          <w:p>
            <w:pPr>
              <w:pStyle w:val="Compact"/>
            </w:pPr>
            <w:r>
              <w:t xml:space="preserve">Funding / resources</w:t>
            </w:r>
          </w:p>
        </w:tc>
        <w:tc>
          <w:tcPr/>
          <w:p>
            <w:pPr>
              <w:pStyle w:val="Compact"/>
            </w:pPr>
            <w:r>
              <w:t xml:space="preserve">Capital, operating budget, people, partners</w:t>
            </w:r>
          </w:p>
        </w:tc>
      </w:tr>
      <w:tr>
        <w:tc>
          <w:tcPr/>
          <w:p>
            <w:pPr>
              <w:pStyle w:val="Compact"/>
            </w:pPr>
            <w:r>
              <w:t xml:space="preserve">Risk position</w:t>
            </w:r>
          </w:p>
        </w:tc>
        <w:tc>
          <w:tcPr/>
          <w:p>
            <w:pPr>
              <w:pStyle w:val="Compact"/>
            </w:pPr>
            <w:r>
              <w:t xml:space="preserve">Major risks and mitigations</w:t>
            </w:r>
          </w:p>
        </w:tc>
      </w:tr>
    </w:tbl>
    <w:bookmarkEnd w:id="23"/>
    <w:bookmarkStart w:id="24" w:name="company-project-or-sponsor-context"/>
    <w:p>
      <w:pPr>
        <w:pStyle w:val="1"/>
      </w:pPr>
      <w:r>
        <w:t xml:space="preserve">2. Company, Project, or Sponsor Context</w:t>
      </w:r>
    </w:p>
    <w:p>
      <w:pPr>
        <w:pStyle w:val="FirstParagraph"/>
      </w:pPr>
      <w:r>
        <w:t xml:space="preserve">Describe the organization, sponsor, mission, capability gap, customer problem, project background, current constraints, and the reason action is needed now.</w:t>
      </w:r>
    </w:p>
    <w:bookmarkEnd w:id="24"/>
    <w:bookmarkStart w:id="25" w:name="market-customer-and-evidence-base"/>
    <w:p>
      <w:pPr>
        <w:pStyle w:val="1"/>
      </w:pPr>
      <w:r>
        <w:t xml:space="preserve">3. Market, Customer, and Evidence Base</w:t>
      </w:r>
    </w:p>
    <w:p>
      <w:pPr>
        <w:pStyle w:val="FirstParagraph"/>
      </w:pPr>
      <w:r>
        <w:t xml:space="preserve">Summarize target segments, customer needs, market size, industry trends, competitor behavior, pricing assumptions, adoption drivers, and evidence quality.</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Evidence Area</w:t>
            </w:r>
          </w:p>
        </w:tc>
        <w:tc>
          <w:tcPr/>
          <w:p>
            <w:pPr>
              <w:pStyle w:val="Compact"/>
            </w:pPr>
            <w:r>
              <w:t xml:space="preserve">Questions to Answer</w:t>
            </w:r>
          </w:p>
        </w:tc>
      </w:tr>
      <w:tr>
        <w:tc>
          <w:tcPr/>
          <w:p>
            <w:pPr>
              <w:pStyle w:val="Compact"/>
            </w:pPr>
            <w:r>
              <w:t xml:space="preserve">Customer</w:t>
            </w:r>
          </w:p>
        </w:tc>
        <w:tc>
          <w:tcPr/>
          <w:p>
            <w:pPr>
              <w:pStyle w:val="Compact"/>
            </w:pPr>
            <w:r>
              <w:t xml:space="preserve">Who has the problem and how urgent is it?</w:t>
            </w:r>
          </w:p>
        </w:tc>
      </w:tr>
      <w:tr>
        <w:tc>
          <w:tcPr/>
          <w:p>
            <w:pPr>
              <w:pStyle w:val="Compact"/>
            </w:pPr>
            <w:r>
              <w:t xml:space="preserve">Market</w:t>
            </w:r>
          </w:p>
        </w:tc>
        <w:tc>
          <w:tcPr/>
          <w:p>
            <w:pPr>
              <w:pStyle w:val="Compact"/>
            </w:pPr>
            <w:r>
              <w:t xml:space="preserve">How large is the reachable opportunity?</w:t>
            </w:r>
          </w:p>
        </w:tc>
      </w:tr>
      <w:tr>
        <w:tc>
          <w:tcPr/>
          <w:p>
            <w:pPr>
              <w:pStyle w:val="Compact"/>
            </w:pPr>
            <w:r>
              <w:t xml:space="preserve">Competition</w:t>
            </w:r>
          </w:p>
        </w:tc>
        <w:tc>
          <w:tcPr/>
          <w:p>
            <w:pPr>
              <w:pStyle w:val="Compact"/>
            </w:pPr>
            <w:r>
              <w:t xml:space="preserve">What alternatives exist and why is this better?</w:t>
            </w:r>
          </w:p>
        </w:tc>
      </w:tr>
      <w:tr>
        <w:tc>
          <w:tcPr/>
          <w:p>
            <w:pPr>
              <w:pStyle w:val="Compact"/>
            </w:pPr>
            <w:r>
              <w:t xml:space="preserve">Assumptions</w:t>
            </w:r>
          </w:p>
        </w:tc>
        <w:tc>
          <w:tcPr/>
          <w:p>
            <w:pPr>
              <w:pStyle w:val="Compact"/>
            </w:pPr>
            <w:r>
              <w:t xml:space="preserve">Which assumptions require validation?</w:t>
            </w:r>
          </w:p>
        </w:tc>
      </w:tr>
    </w:tbl>
    <w:bookmarkEnd w:id="25"/>
    <w:bookmarkStart w:id="26" w:name="strategic-economic-and-commercial-case"/>
    <w:p>
      <w:pPr>
        <w:pStyle w:val="1"/>
      </w:pPr>
      <w:r>
        <w:t xml:space="preserve">4. Strategic, Economic, and Commercial Case</w:t>
      </w:r>
    </w:p>
    <w:p>
      <w:pPr>
        <w:pStyle w:val="FirstParagraph"/>
      </w:pPr>
      <w:r>
        <w:t xml:space="preserve">For decision reports, separate the strategic fit, economic value, and commercial deliverability. Compare options, explain the preferred option, and record why rejected options were not selected.</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Option</w:t>
            </w:r>
          </w:p>
        </w:tc>
        <w:tc>
          <w:tcPr/>
          <w:p>
            <w:pPr>
              <w:pStyle w:val="Compact"/>
            </w:pPr>
            <w:r>
              <w:t xml:space="preserve">Benefits</w:t>
            </w:r>
          </w:p>
        </w:tc>
        <w:tc>
          <w:tcPr/>
          <w:p>
            <w:pPr>
              <w:pStyle w:val="Compact"/>
            </w:pPr>
            <w:r>
              <w:t xml:space="preserve">Costs</w:t>
            </w:r>
          </w:p>
        </w:tc>
        <w:tc>
          <w:tcPr/>
          <w:p>
            <w:pPr>
              <w:pStyle w:val="Compact"/>
            </w:pPr>
            <w:r>
              <w:t xml:space="preserve">Risks</w:t>
            </w:r>
          </w:p>
        </w:tc>
        <w:tc>
          <w:tcPr/>
          <w:p>
            <w:pPr>
              <w:pStyle w:val="Compact"/>
            </w:pPr>
            <w:r>
              <w:t xml:space="preserve">Decision</w:t>
            </w:r>
          </w:p>
        </w:tc>
      </w:tr>
      <w:tr>
        <w:tc>
          <w:tcPr/>
          <w:p>
            <w:pPr>
              <w:pStyle w:val="Compact"/>
            </w:pPr>
            <w:r>
              <w:t xml:space="preserve">Do nothing</w:t>
            </w:r>
          </w:p>
        </w:tc>
        <w:tc>
          <w:tcPr/>
          <w:p>
            <w:pPr>
              <w:pStyle w:val="Compact"/>
            </w:pPr>
            <w:r>
              <w:t xml:space="preserve">Baseline only</w:t>
            </w:r>
          </w:p>
        </w:tc>
        <w:tc>
          <w:tcPr/>
          <w:p>
            <w:pPr>
              <w:pStyle w:val="Compact"/>
            </w:pPr>
            <w:r>
              <w:t xml:space="preserve">No new spend</w:t>
            </w:r>
          </w:p>
        </w:tc>
        <w:tc>
          <w:tcPr/>
          <w:p>
            <w:pPr>
              <w:pStyle w:val="Compact"/>
            </w:pPr>
            <w:r>
              <w:t xml:space="preserve">Opportunity loss</w:t>
            </w:r>
          </w:p>
        </w:tc>
        <w:tc>
          <w:tcPr/>
          <w:p>
            <w:pPr>
              <w:pStyle w:val="Compact"/>
            </w:pPr>
            <w:r>
              <w:t xml:space="preserve">Rejected</w:t>
            </w:r>
          </w:p>
        </w:tc>
      </w:tr>
      <w:tr>
        <w:tc>
          <w:tcPr/>
          <w:p>
            <w:pPr>
              <w:pStyle w:val="Compact"/>
            </w:pPr>
            <w:r>
              <w:t xml:space="preserve">Minimum viable option</w:t>
            </w:r>
          </w:p>
        </w:tc>
        <w:tc>
          <w:tcPr/>
          <w:p>
            <w:pPr>
              <w:pStyle w:val="Compact"/>
            </w:pPr>
            <w:r>
              <w:t xml:space="preserve">Faster learning</w:t>
            </w:r>
          </w:p>
        </w:tc>
        <w:tc>
          <w:tcPr/>
          <w:p>
            <w:pPr>
              <w:pStyle w:val="Compact"/>
            </w:pPr>
            <w:r>
              <w:t xml:space="preserve">Limited scope</w:t>
            </w:r>
          </w:p>
        </w:tc>
        <w:tc>
          <w:tcPr/>
          <w:p>
            <w:pPr>
              <w:pStyle w:val="Compact"/>
            </w:pPr>
            <w:r>
              <w:t xml:space="preserve">Partial benefit</w:t>
            </w:r>
          </w:p>
        </w:tc>
        <w:tc>
          <w:tcPr/>
          <w:p>
            <w:pPr>
              <w:pStyle w:val="Compact"/>
            </w:pPr>
            <w:r>
              <w:t xml:space="preserve">Consider</w:t>
            </w:r>
          </w:p>
        </w:tc>
      </w:tr>
      <w:tr>
        <w:tc>
          <w:tcPr/>
          <w:p>
            <w:pPr>
              <w:pStyle w:val="Compact"/>
            </w:pPr>
            <w:r>
              <w:t xml:space="preserve">Recommended option</w:t>
            </w:r>
          </w:p>
        </w:tc>
        <w:tc>
          <w:tcPr/>
          <w:p>
            <w:pPr>
              <w:pStyle w:val="Compact"/>
            </w:pPr>
            <w:r>
              <w:t xml:space="preserve">Best fit to objectives</w:t>
            </w:r>
          </w:p>
        </w:tc>
        <w:tc>
          <w:tcPr/>
          <w:p>
            <w:pPr>
              <w:pStyle w:val="Compact"/>
            </w:pPr>
            <w:r>
              <w:t xml:space="preserve">Managed investment</w:t>
            </w:r>
          </w:p>
        </w:tc>
        <w:tc>
          <w:tcPr/>
          <w:p>
            <w:pPr>
              <w:pStyle w:val="Compact"/>
            </w:pPr>
            <w:r>
              <w:t xml:space="preserve">Execution risk</w:t>
            </w:r>
          </w:p>
        </w:tc>
        <w:tc>
          <w:tcPr/>
          <w:p>
            <w:pPr>
              <w:pStyle w:val="Compact"/>
            </w:pPr>
            <w:r>
              <w:t xml:space="preserve">Preferred</w:t>
            </w:r>
          </w:p>
        </w:tc>
      </w:tr>
    </w:tbl>
    <w:bookmarkEnd w:id="26"/>
    <w:bookmarkStart w:id="27" w:name="operating-plan-and-delivery-model"/>
    <w:p>
      <w:pPr>
        <w:pStyle w:val="1"/>
      </w:pPr>
      <w:r>
        <w:t xml:space="preserve">5. Operating Plan and Delivery Model</w:t>
      </w:r>
    </w:p>
    <w:p>
      <w:pPr>
        <w:pStyle w:val="FirstParagraph"/>
      </w:pPr>
      <w:r>
        <w:t xml:space="preserve">Explain implementation phases, accountable owners, team model, partners or suppliers, governance, timeline, dependencies, and measurable milestones.</w:t>
      </w:r>
    </w:p>
    <w:bookmarkEnd w:id="27"/>
    <w:bookmarkStart w:id="28" w:name="financial-view"/>
    <w:p>
      <w:pPr>
        <w:pStyle w:val="1"/>
      </w:pPr>
      <w:r>
        <w:t xml:space="preserve">6. Financial View</w:t>
      </w:r>
    </w:p>
    <w:p>
      <w:pPr>
        <w:pStyle w:val="FirstParagraph"/>
      </w:pPr>
      <w:r>
        <w:t xml:space="preserve">Present funding needs, revenue or savings assumptions, cash flow, break-even logic, return-on-investment view, sensitivity analysis, and the connection between financial projections and the market or operating assumptions above.</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Metric</w:t>
            </w:r>
          </w:p>
        </w:tc>
        <w:tc>
          <w:tcPr/>
          <w:p>
            <w:pPr>
              <w:pStyle w:val="Compact"/>
              <w:jc w:val="right"/>
            </w:pPr>
            <w:r>
              <w:t xml:space="preserve">Year 1</w:t>
            </w:r>
          </w:p>
        </w:tc>
        <w:tc>
          <w:tcPr/>
          <w:p>
            <w:pPr>
              <w:pStyle w:val="Compact"/>
              <w:jc w:val="right"/>
            </w:pPr>
            <w:r>
              <w:t xml:space="preserve">Year 2</w:t>
            </w:r>
          </w:p>
        </w:tc>
        <w:tc>
          <w:tcPr/>
          <w:p>
            <w:pPr>
              <w:pStyle w:val="Compact"/>
              <w:jc w:val="right"/>
            </w:pPr>
            <w:r>
              <w:t xml:space="preserve">Year 3</w:t>
            </w:r>
          </w:p>
        </w:tc>
      </w:tr>
      <w:tr>
        <w:tc>
          <w:tcPr/>
          <w:p>
            <w:pPr>
              <w:pStyle w:val="Compact"/>
            </w:pPr>
            <w:r>
              <w:t xml:space="preserve">Revenue or savings</w:t>
            </w:r>
          </w:p>
        </w:tc>
        <w:tc>
          <w:tcPr/>
          <w:p>
            <w:pPr>
              <w:pStyle w:val="Compact"/>
            </w:pPr>
          </w:p>
        </w:tc>
        <w:tc>
          <w:tcPr/>
          <w:p>
            <w:pPr>
              <w:pStyle w:val="Compact"/>
            </w:pPr>
          </w:p>
        </w:tc>
        <w:tc>
          <w:tcPr/>
          <w:p>
            <w:pPr>
              <w:pStyle w:val="Compact"/>
            </w:pPr>
          </w:p>
        </w:tc>
      </w:tr>
      <w:tr>
        <w:tc>
          <w:tcPr/>
          <w:p>
            <w:pPr>
              <w:pStyle w:val="Compact"/>
            </w:pPr>
            <w:r>
              <w:t xml:space="preserve">Operating cost</w:t>
            </w:r>
          </w:p>
        </w:tc>
        <w:tc>
          <w:tcPr/>
          <w:p>
            <w:pPr>
              <w:pStyle w:val="Compact"/>
            </w:pPr>
          </w:p>
        </w:tc>
        <w:tc>
          <w:tcPr/>
          <w:p>
            <w:pPr>
              <w:pStyle w:val="Compact"/>
            </w:pPr>
          </w:p>
        </w:tc>
        <w:tc>
          <w:tcPr/>
          <w:p>
            <w:pPr>
              <w:pStyle w:val="Compact"/>
            </w:pPr>
          </w:p>
        </w:tc>
      </w:tr>
      <w:tr>
        <w:tc>
          <w:tcPr/>
          <w:p>
            <w:pPr>
              <w:pStyle w:val="Compact"/>
            </w:pPr>
            <w:r>
              <w:t xml:space="preserve">Capital spend</w:t>
            </w:r>
          </w:p>
        </w:tc>
        <w:tc>
          <w:tcPr/>
          <w:p>
            <w:pPr>
              <w:pStyle w:val="Compact"/>
            </w:pPr>
          </w:p>
        </w:tc>
        <w:tc>
          <w:tcPr/>
          <w:p>
            <w:pPr>
              <w:pStyle w:val="Compact"/>
            </w:pPr>
          </w:p>
        </w:tc>
        <w:tc>
          <w:tcPr/>
          <w:p>
            <w:pPr>
              <w:pStyle w:val="Compact"/>
            </w:pPr>
          </w:p>
        </w:tc>
      </w:tr>
      <w:tr>
        <w:tc>
          <w:tcPr/>
          <w:p>
            <w:pPr>
              <w:pStyle w:val="Compact"/>
            </w:pPr>
            <w:r>
              <w:t xml:space="preserve">Net impact</w:t>
            </w:r>
          </w:p>
        </w:tc>
        <w:tc>
          <w:tcPr/>
          <w:p>
            <w:pPr>
              <w:pStyle w:val="Compact"/>
            </w:pPr>
          </w:p>
        </w:tc>
        <w:tc>
          <w:tcPr/>
          <w:p>
            <w:pPr>
              <w:pStyle w:val="Compact"/>
            </w:pPr>
          </w:p>
        </w:tc>
        <w:tc>
          <w:tcPr/>
          <w:p>
            <w:pPr>
              <w:pStyle w:val="Compact"/>
            </w:pPr>
          </w:p>
        </w:tc>
      </w:tr>
    </w:tbl>
    <w:bookmarkEnd w:id="28"/>
    <w:bookmarkStart w:id="29" w:name="risk-governance-and-management-case"/>
    <w:p>
      <w:pPr>
        <w:pStyle w:val="1"/>
      </w:pPr>
      <w:r>
        <w:t xml:space="preserve">7. Risk, Governance, and Management Case</w:t>
      </w:r>
    </w:p>
    <w:p>
      <w:pPr>
        <w:pStyle w:val="FirstParagraph"/>
      </w:pPr>
      <w:r>
        <w:t xml:space="preserve">List major commercial, operational, legal, data, financial, and delivery risks. Record mitigations, owners, review cadence, and escalation path.</w:t>
      </w:r>
    </w:p>
    <w:bookmarkEnd w:id="29"/>
    <w:bookmarkStart w:id="30" w:name="conclusion-and-next-actions"/>
    <w:p>
      <w:pPr>
        <w:pStyle w:val="1"/>
      </w:pPr>
      <w:r>
        <w:t xml:space="preserve">8. Conclusion and Next Actions</w:t>
      </w:r>
    </w:p>
    <w:p>
      <w:pPr>
        <w:pStyle w:val="FirstParagraph"/>
      </w:pPr>
      <w:r>
        <w:t xml:space="preserve">Close with the recommended decision, immediate next steps, required approvals, and the date or milestone for reassessment.</w:t>
      </w:r>
    </w:p>
    <w:bookmarkEnd w:id="30"/>
    <w:sectPr w:rsidR="00AD56CE">
      <w:headerReference r:id="rId13" w:type="default"/>
      <w:pgSz w:h="16839" w:w="11907"/>
      <w:pgMar w:bottom="1584" w:footer="431" w:gutter="0" w:header="431" w:left="1440" w:right="1440" w:top="1584"/>
      <w:cols w:num="2" w:space="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roman"/>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2ABC" w14:textId="77777777" w:rsidR="00AD56CE" w:rsidRDefault="00AD56CE">
    <w:pPr>
      <w:framePr w:wrap="around" w:vAnchor="text" w:hAnchor="margin" w:xAlign="right" w:y="1"/>
    </w:pPr>
  </w:p>
  <w:p w14:paraId="1441552D" w14:textId="77777777" w:rsidR="00AD56CE" w:rsidRDefault="00AD56CE">
    <w:pPr>
      <w:tabs>
        <w:tab w:val="left" w:pos="5670"/>
      </w:tabs>
      <w:ind w:right="360"/>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FFFFFFFB"/>
    <w:multiLevelType w:val="multilevel"/>
    <w:tmpl w:val="FFFFFFFB"/>
    <w:lvl w:ilvl="0">
      <w:start w:val="1"/>
      <w:numFmt w:val="upperRoman"/>
      <w:lvlText w:val="%1."/>
      <w:legacy w:legacy="1" w:legacyIndent="144" w:legacySpace="144"/>
      <w:lvlJc w:val="left"/>
    </w:lvl>
    <w:lvl w:ilvl="1">
      <w:start w:val="1"/>
      <w:numFmt w:val="upperLetter"/>
      <w:lvlText w:val="%2."/>
      <w:legacy w:legacy="1" w:legacyIndent="144" w:legacySpace="144"/>
      <w:lvlJc w:val="left"/>
    </w:lvl>
    <w:lvl w:ilvl="2">
      <w:start w:val="1"/>
      <w:numFmt w:val="decimal"/>
      <w:lvlText w:val="%3)"/>
      <w:legacy w:legacy="1" w:legacyIndent="144" w:legacySpace="144"/>
      <w:lvlJc w:val="left"/>
    </w:lvl>
    <w:lvl w:ilvl="3">
      <w:start w:val="1"/>
      <w:numFmt w:val="lowerLetter"/>
      <w:lvlText w:val="%4)"/>
      <w:lvlJc w:val="left"/>
      <w:pPr>
        <w:ind w:hanging="720" w:left="1152"/>
      </w:pPr>
    </w:lvl>
    <w:lvl w:ilvl="4">
      <w:start w:val="1"/>
      <w:numFmt w:val="decimal"/>
      <w:lvlText w:val="(%5)"/>
      <w:legacy w:legacy="1" w:legacyIndent="720" w:legacySpace="0"/>
      <w:lvlJc w:val="left"/>
      <w:pPr>
        <w:ind w:hanging="720" w:left="1872"/>
      </w:pPr>
    </w:lvl>
    <w:lvl w:ilvl="5">
      <w:start w:val="1"/>
      <w:numFmt w:val="lowerLetter"/>
      <w:lvlText w:val="(%6)"/>
      <w:legacy w:legacy="1" w:legacyIndent="720" w:legacySpace="0"/>
      <w:lvlJc w:val="left"/>
      <w:pPr>
        <w:ind w:hanging="720" w:left="2592"/>
      </w:pPr>
    </w:lvl>
    <w:lvl w:ilvl="6">
      <w:start w:val="1"/>
      <w:numFmt w:val="lowerRoman"/>
      <w:lvlText w:val="(%7)"/>
      <w:legacy w:legacy="1" w:legacyIndent="720" w:legacySpace="0"/>
      <w:lvlJc w:val="left"/>
      <w:pPr>
        <w:ind w:hanging="720" w:left="3312"/>
      </w:pPr>
    </w:lvl>
    <w:lvl w:ilvl="7">
      <w:start w:val="1"/>
      <w:numFmt w:val="lowerLetter"/>
      <w:lvlText w:val="(%8)"/>
      <w:legacy w:legacy="1" w:legacyIndent="720" w:legacySpace="0"/>
      <w:lvlJc w:val="left"/>
      <w:pPr>
        <w:ind w:hanging="720" w:left="4032"/>
      </w:pPr>
    </w:lvl>
    <w:lvl w:ilvl="8">
      <w:start w:val="1"/>
      <w:numFmt w:val="lowerRoman"/>
      <w:lvlText w:val="(%9)"/>
      <w:legacy w:legacy="1" w:legacyIndent="720" w:legacySpace="0"/>
      <w:lvlJc w:val="left"/>
      <w:pPr>
        <w:ind w:hanging="720" w:left="4752"/>
      </w:pPr>
    </w:lvl>
  </w:abstractNum>
  <w:abstractNum w15:restartNumberingAfterBreak="0" w:abstractNumId="1">
    <w:nsid w:val="2517274C"/>
    <w:multiLevelType w:val="singleLevel"/>
    <w:tmpl w:val="2517274C"/>
    <w:lvl w:ilvl="0">
      <w:start w:val="1"/>
      <w:numFmt w:val="decimal"/>
      <w:lvlText w:val="%1)"/>
      <w:lvlJc w:val="left"/>
      <w:pPr>
        <w:tabs>
          <w:tab w:pos="360" w:val="num"/>
        </w:tabs>
        <w:ind w:hanging="360" w:left="360"/>
      </w:pPr>
    </w:lvl>
  </w:abstractNum>
  <w:abstractNum w15:restartNumberingAfterBreak="0" w:abstractNumId="2">
    <w:nsid w:val="3A877D64"/>
    <w:multiLevelType w:val="singleLevel"/>
    <w:tmpl w:val="3A877D64"/>
    <w:lvl w:ilvl="0">
      <w:start w:val="1"/>
      <w:numFmt w:val="decimal"/>
      <w:lvlText w:val="[%1]"/>
      <w:lvlJc w:val="left"/>
      <w:pPr>
        <w:tabs>
          <w:tab w:pos="360" w:val="num"/>
        </w:tabs>
        <w:ind w:hanging="360" w:left="36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281426172" w:numId="1">
    <w:abstractNumId w:val="0"/>
  </w:num>
  <w:num w16cid:durableId="1625692853" w:numId="2">
    <w:abstractNumId w:val="2"/>
  </w:num>
  <w:num w16cid:durableId="916016178" w:numId="3">
    <w:abstractNumId w:val="1"/>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202"/>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hdrShapeDefaults>
    <o:shapedefaults spidmax="2057" v:ext="edit"/>
  </w:hdrShapeDefaults>
  <w:compat>
    <w:lineWrapLikeWord6/>
    <w:printColBlack/>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092C"/>
    <w:rsid w:val="00006E2D"/>
    <w:rsid w:val="00010A35"/>
    <w:rsid w:val="00020A6B"/>
    <w:rsid w:val="00022AD7"/>
    <w:rsid w:val="00023D9D"/>
    <w:rsid w:val="000308F0"/>
    <w:rsid w:val="00031F45"/>
    <w:rsid w:val="0003482B"/>
    <w:rsid w:val="00053099"/>
    <w:rsid w:val="00065FA3"/>
    <w:rsid w:val="00070579"/>
    <w:rsid w:val="00073A7B"/>
    <w:rsid w:val="00093946"/>
    <w:rsid w:val="000A3E12"/>
    <w:rsid w:val="000A549A"/>
    <w:rsid w:val="000C1765"/>
    <w:rsid w:val="000D2B00"/>
    <w:rsid w:val="000E1DFC"/>
    <w:rsid w:val="001179E0"/>
    <w:rsid w:val="00121A46"/>
    <w:rsid w:val="00131CDC"/>
    <w:rsid w:val="001913C4"/>
    <w:rsid w:val="00197551"/>
    <w:rsid w:val="001A0C37"/>
    <w:rsid w:val="001C5E06"/>
    <w:rsid w:val="001D3F54"/>
    <w:rsid w:val="001D59D3"/>
    <w:rsid w:val="001F746D"/>
    <w:rsid w:val="00216660"/>
    <w:rsid w:val="002255DB"/>
    <w:rsid w:val="00227166"/>
    <w:rsid w:val="00230B31"/>
    <w:rsid w:val="00241BD8"/>
    <w:rsid w:val="00243A96"/>
    <w:rsid w:val="00256C95"/>
    <w:rsid w:val="00272F1A"/>
    <w:rsid w:val="002A0D03"/>
    <w:rsid w:val="002C2613"/>
    <w:rsid w:val="002D2DE0"/>
    <w:rsid w:val="002D3073"/>
    <w:rsid w:val="002E2C98"/>
    <w:rsid w:val="002F7706"/>
    <w:rsid w:val="00302A1D"/>
    <w:rsid w:val="00302A86"/>
    <w:rsid w:val="00306191"/>
    <w:rsid w:val="003443AB"/>
    <w:rsid w:val="003544EE"/>
    <w:rsid w:val="00375A49"/>
    <w:rsid w:val="00390DB2"/>
    <w:rsid w:val="00395C28"/>
    <w:rsid w:val="003A2CDE"/>
    <w:rsid w:val="003A40B2"/>
    <w:rsid w:val="003A59F2"/>
    <w:rsid w:val="003B3425"/>
    <w:rsid w:val="003C1795"/>
    <w:rsid w:val="003F1116"/>
    <w:rsid w:val="003F4CE4"/>
    <w:rsid w:val="003F54EF"/>
    <w:rsid w:val="00403BDA"/>
    <w:rsid w:val="004117EE"/>
    <w:rsid w:val="004125D8"/>
    <w:rsid w:val="004246EA"/>
    <w:rsid w:val="00424F3C"/>
    <w:rsid w:val="00450809"/>
    <w:rsid w:val="004626D3"/>
    <w:rsid w:val="0046698A"/>
    <w:rsid w:val="004B26AC"/>
    <w:rsid w:val="004D3136"/>
    <w:rsid w:val="004E3A86"/>
    <w:rsid w:val="00502298"/>
    <w:rsid w:val="0050306C"/>
    <w:rsid w:val="00504CB6"/>
    <w:rsid w:val="00513ED0"/>
    <w:rsid w:val="005364F9"/>
    <w:rsid w:val="00550132"/>
    <w:rsid w:val="00556AF4"/>
    <w:rsid w:val="005707AE"/>
    <w:rsid w:val="00594D5D"/>
    <w:rsid w:val="005A4749"/>
    <w:rsid w:val="005D39C9"/>
    <w:rsid w:val="005D5B15"/>
    <w:rsid w:val="005F2365"/>
    <w:rsid w:val="005F2982"/>
    <w:rsid w:val="005F42CC"/>
    <w:rsid w:val="005F7847"/>
    <w:rsid w:val="006054B2"/>
    <w:rsid w:val="0064626B"/>
    <w:rsid w:val="00650FDB"/>
    <w:rsid w:val="0065530C"/>
    <w:rsid w:val="0066205B"/>
    <w:rsid w:val="0066365D"/>
    <w:rsid w:val="006660F2"/>
    <w:rsid w:val="00671855"/>
    <w:rsid w:val="006819F8"/>
    <w:rsid w:val="006C6291"/>
    <w:rsid w:val="006E6884"/>
    <w:rsid w:val="006F6D45"/>
    <w:rsid w:val="006F73DE"/>
    <w:rsid w:val="00706921"/>
    <w:rsid w:val="00725621"/>
    <w:rsid w:val="0072580B"/>
    <w:rsid w:val="00727ADC"/>
    <w:rsid w:val="007317C4"/>
    <w:rsid w:val="00753DD9"/>
    <w:rsid w:val="00754604"/>
    <w:rsid w:val="0076266A"/>
    <w:rsid w:val="00777FCD"/>
    <w:rsid w:val="00780192"/>
    <w:rsid w:val="00782D82"/>
    <w:rsid w:val="007A42CC"/>
    <w:rsid w:val="007B302F"/>
    <w:rsid w:val="007B5C10"/>
    <w:rsid w:val="007C5EB3"/>
    <w:rsid w:val="007C7471"/>
    <w:rsid w:val="008017FE"/>
    <w:rsid w:val="00802E88"/>
    <w:rsid w:val="008074FC"/>
    <w:rsid w:val="00826802"/>
    <w:rsid w:val="00840C06"/>
    <w:rsid w:val="00872EF0"/>
    <w:rsid w:val="0088363A"/>
    <w:rsid w:val="008A2FCC"/>
    <w:rsid w:val="008A30CF"/>
    <w:rsid w:val="00906944"/>
    <w:rsid w:val="00916919"/>
    <w:rsid w:val="00926D7E"/>
    <w:rsid w:val="009526A0"/>
    <w:rsid w:val="0097355C"/>
    <w:rsid w:val="009763C9"/>
    <w:rsid w:val="00977AEE"/>
    <w:rsid w:val="0098708C"/>
    <w:rsid w:val="009973C3"/>
    <w:rsid w:val="009B3257"/>
    <w:rsid w:val="009C0FB1"/>
    <w:rsid w:val="009E5DA5"/>
    <w:rsid w:val="00A21EF0"/>
    <w:rsid w:val="00A36124"/>
    <w:rsid w:val="00A40D30"/>
    <w:rsid w:val="00A513CD"/>
    <w:rsid w:val="00A54C82"/>
    <w:rsid w:val="00A81199"/>
    <w:rsid w:val="00A9415F"/>
    <w:rsid w:val="00AB5BA8"/>
    <w:rsid w:val="00AC667A"/>
    <w:rsid w:val="00AD56CE"/>
    <w:rsid w:val="00AE4BDC"/>
    <w:rsid w:val="00B15D5A"/>
    <w:rsid w:val="00B335EB"/>
    <w:rsid w:val="00B40595"/>
    <w:rsid w:val="00B42D7A"/>
    <w:rsid w:val="00B42E5A"/>
    <w:rsid w:val="00B56A52"/>
    <w:rsid w:val="00B6458A"/>
    <w:rsid w:val="00B73113"/>
    <w:rsid w:val="00B777AC"/>
    <w:rsid w:val="00B84C0F"/>
    <w:rsid w:val="00BB639A"/>
    <w:rsid w:val="00BC5F62"/>
    <w:rsid w:val="00BD70FA"/>
    <w:rsid w:val="00BD7794"/>
    <w:rsid w:val="00C03DC8"/>
    <w:rsid w:val="00C46B63"/>
    <w:rsid w:val="00C5094C"/>
    <w:rsid w:val="00C6171A"/>
    <w:rsid w:val="00C704EC"/>
    <w:rsid w:val="00C70B81"/>
    <w:rsid w:val="00C82E7E"/>
    <w:rsid w:val="00C9698F"/>
    <w:rsid w:val="00CA2017"/>
    <w:rsid w:val="00CE3A1C"/>
    <w:rsid w:val="00CE6934"/>
    <w:rsid w:val="00CF2712"/>
    <w:rsid w:val="00D15514"/>
    <w:rsid w:val="00D37D1E"/>
    <w:rsid w:val="00D4349D"/>
    <w:rsid w:val="00D53FEC"/>
    <w:rsid w:val="00D9137F"/>
    <w:rsid w:val="00DA2AD6"/>
    <w:rsid w:val="00DD0E15"/>
    <w:rsid w:val="00DF2105"/>
    <w:rsid w:val="00DF307B"/>
    <w:rsid w:val="00DF7CE7"/>
    <w:rsid w:val="00E04360"/>
    <w:rsid w:val="00E61C1D"/>
    <w:rsid w:val="00E62F41"/>
    <w:rsid w:val="00EA21EA"/>
    <w:rsid w:val="00EA4A43"/>
    <w:rsid w:val="00EA7827"/>
    <w:rsid w:val="00EB0151"/>
    <w:rsid w:val="00EB092C"/>
    <w:rsid w:val="00EB5DE1"/>
    <w:rsid w:val="00EF5DAF"/>
    <w:rsid w:val="00EF6F47"/>
    <w:rsid w:val="00F0454D"/>
    <w:rsid w:val="00F22915"/>
    <w:rsid w:val="00F250B0"/>
    <w:rsid w:val="00F25F7E"/>
    <w:rsid w:val="00F34ED3"/>
    <w:rsid w:val="00F363EB"/>
    <w:rsid w:val="00F41BC9"/>
    <w:rsid w:val="00F47334"/>
    <w:rsid w:val="00F63764"/>
    <w:rsid w:val="00F67F28"/>
    <w:rsid w:val="00F7052E"/>
    <w:rsid w:val="00F768CA"/>
    <w:rsid w:val="00F8245D"/>
    <w:rsid w:val="00F83769"/>
    <w:rsid w:val="00FA087C"/>
    <w:rsid w:val="00FA2D5F"/>
    <w:rsid w:val="00FA5EE2"/>
    <w:rsid w:val="00FB1DB2"/>
    <w:rsid w:val="00FB5543"/>
    <w:rsid w:val="00FC2790"/>
    <w:rsid w:val="00FD2DA0"/>
    <w:rsid w:val="00FE5C6C"/>
    <w:rsid w:val="28076211"/>
  </w:rsids>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57" v:ext="edit"/>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cs="Times New Roman" w:eastAsia="PMingLiU" w:hAnsi="Times New Roman"/>
        <w:lang w:bidi="ar-SA" w:eastAsia="zh-CN" w:val="en-US"/>
      </w:rPr>
    </w:rPrDefault>
    <w:pPrDefault/>
  </w:docDefaults>
  <w:latentStyles w:count="376"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1"/>
    <w:lsdException w:name="caption" w:qFormat="1" w:semiHidden="1" w:unhideWhenUsed="1"/>
    <w:lsdException w:name="footnote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uiPriority="99"/>
    <w:lsdException w:name="Quote" w:qFormat="1" w:uiPriority="99"/>
    <w:lsdException w:name="Intense Quote" w:qFormat="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a" w:type="paragraph">
    <w:name w:val="Normal"/>
    <w:qFormat/>
    <w:pPr>
      <w:spacing w:after="80" w:before="0" w:line="300" w:lineRule="auto"/>
      <w:jc w:val="both"/>
    </w:pPr>
    <w:rPr>
      <w:rFonts w:ascii="Arial" w:cs="Arial" w:eastAsia="Calibri" w:hAnsi="Arial"/>
      <w:color w:val="1F2937"/>
      <w:sz w:val="22"/>
      <w:szCs w:val="22"/>
      <w:lang w:eastAsia="en-US"/>
    </w:rPr>
  </w:style>
  <w:style w:styleId="1" w:type="paragraph">
    <w:name w:val="heading 1"/>
    <w:basedOn w:val="a"/>
    <w:next w:val="FirstParagraph"/>
    <w:qFormat/>
    <w:pPr>
      <w:keepNext/>
      <w:spacing w:after="120" w:before="320" w:line="300" w:lineRule="auto"/>
      <w:pBdr>
        <w:bottom w:color="D6E3F3" w:space="4" w:sz="8" w:val="single"/>
      </w:pBdr>
      <w:jc w:val="left"/>
      <w:outlineLvl w:val="0"/>
    </w:pPr>
    <w:rPr>
      <w:rFonts w:ascii="Arial" w:cs="Arial" w:eastAsia="Calibri" w:hAnsi="Arial"/>
      <w:b/>
      <w:color w:val="2F5597"/>
      <w:sz w:val="30"/>
      <w:szCs w:val="30"/>
    </w:rPr>
  </w:style>
  <w:style w:styleId="2" w:type="paragraph">
    <w:name w:val="heading 2"/>
    <w:basedOn w:val="a"/>
    <w:next w:val="FirstParagraph"/>
    <w:qFormat/>
    <w:pPr>
      <w:keepNext/>
      <w:spacing w:after="100" w:before="220" w:line="300" w:lineRule="auto"/>
      <w:jc w:val="left"/>
      <w:outlineLvl w:val="1"/>
    </w:pPr>
    <w:rPr>
      <w:rFonts w:ascii="Arial" w:cs="Arial" w:eastAsia="Calibri" w:hAnsi="Arial"/>
      <w:b/>
      <w:color w:val="2F5597"/>
      <w:sz w:val="26"/>
      <w:szCs w:val="26"/>
    </w:rPr>
  </w:style>
  <w:style w:styleId="3" w:type="paragraph">
    <w:name w:val="heading 3"/>
    <w:basedOn w:val="a"/>
    <w:next w:val="FirstParagraph"/>
    <w:qFormat/>
    <w:pPr>
      <w:keepNext/>
      <w:spacing w:after="80" w:before="160" w:line="300" w:lineRule="auto"/>
      <w:jc w:val="left"/>
      <w:outlineLvl w:val="2"/>
    </w:pPr>
    <w:rPr>
      <w:rFonts w:ascii="Arial" w:cs="Arial" w:eastAsia="Calibri" w:hAnsi="Arial"/>
      <w:b/>
      <w:color w:val="3F6AA8"/>
      <w:sz w:val="24"/>
      <w:szCs w:val="24"/>
    </w:rPr>
  </w:style>
  <w:style w:styleId="4" w:type="paragraph">
    <w:name w:val="heading 4"/>
    <w:basedOn w:val="a"/>
    <w:next w:val="a"/>
    <w:qFormat/>
    <w:pPr>
      <w:keepNext/>
      <w:numPr>
        <w:ilvl w:val="3"/>
        <w:numId w:val="1"/>
      </w:numPr>
      <w:spacing w:after="40" w:before="40"/>
      <w:ind w:firstLine="0" w:left="284"/>
      <w:outlineLvl w:val="3"/>
    </w:pPr>
    <w:rPr>
      <w:i/>
      <w:iCs/>
      <w:szCs w:val="18"/>
      <w:lang w:eastAsia="zh-TW"/>
    </w:rPr>
  </w:style>
  <w:style w:styleId="5" w:type="paragraph">
    <w:name w:val="heading 5"/>
    <w:basedOn w:val="a"/>
    <w:next w:val="a"/>
    <w:qFormat/>
    <w:pPr>
      <w:numPr>
        <w:ilvl w:val="4"/>
        <w:numId w:val="1"/>
      </w:numPr>
      <w:spacing w:after="60" w:before="240"/>
      <w:outlineLvl w:val="4"/>
    </w:pPr>
    <w:rPr>
      <w:sz w:val="18"/>
      <w:szCs w:val="18"/>
    </w:rPr>
  </w:style>
  <w:style w:styleId="6" w:type="paragraph">
    <w:name w:val="heading 6"/>
    <w:basedOn w:val="a"/>
    <w:next w:val="a"/>
    <w:qFormat/>
    <w:pPr>
      <w:numPr>
        <w:ilvl w:val="5"/>
        <w:numId w:val="1"/>
      </w:numPr>
      <w:spacing w:after="60" w:before="240"/>
      <w:outlineLvl w:val="5"/>
    </w:pPr>
    <w:rPr>
      <w:i/>
      <w:iCs/>
      <w:sz w:val="16"/>
      <w:szCs w:val="16"/>
    </w:rPr>
  </w:style>
  <w:style w:styleId="7" w:type="paragraph">
    <w:name w:val="heading 7"/>
    <w:basedOn w:val="a"/>
    <w:next w:val="a"/>
    <w:qFormat/>
    <w:pPr>
      <w:numPr>
        <w:ilvl w:val="6"/>
        <w:numId w:val="1"/>
      </w:numPr>
      <w:spacing w:after="60" w:before="240"/>
      <w:outlineLvl w:val="6"/>
    </w:pPr>
    <w:rPr>
      <w:sz w:val="16"/>
      <w:szCs w:val="16"/>
    </w:rPr>
  </w:style>
  <w:style w:styleId="8" w:type="paragraph">
    <w:name w:val="heading 8"/>
    <w:basedOn w:val="a"/>
    <w:next w:val="a"/>
    <w:qFormat/>
    <w:pPr>
      <w:numPr>
        <w:ilvl w:val="7"/>
        <w:numId w:val="1"/>
      </w:numPr>
      <w:spacing w:after="60" w:before="240"/>
      <w:outlineLvl w:val="7"/>
    </w:pPr>
    <w:rPr>
      <w:i/>
      <w:iCs/>
      <w:sz w:val="16"/>
      <w:szCs w:val="16"/>
    </w:rPr>
  </w:style>
  <w:style w:styleId="9" w:type="paragraph">
    <w:name w:val="heading 9"/>
    <w:basedOn w:val="a"/>
    <w:next w:val="a"/>
    <w:qFormat/>
    <w:pPr>
      <w:numPr>
        <w:ilvl w:val="8"/>
        <w:numId w:val="1"/>
      </w:numPr>
      <w:spacing w:after="60" w:before="240"/>
      <w:outlineLvl w:val="8"/>
    </w:pPr>
    <w:rPr>
      <w:sz w:val="16"/>
      <w:szCs w:val="16"/>
    </w:rPr>
  </w:style>
  <w:style w:default="1" w:styleId="a0" w:type="character">
    <w:name w:val="Default Paragraph Font"/>
    <w:semiHidden/>
  </w:style>
  <w:style w:default="1" w:styleId="a1" w:type="table">
    <w:name w:val="Normal Table"/>
    <w:semiHidden/>
    <w:tblPr>
      <w:tblCellMar>
        <w:top w:type="dxa" w:w="0"/>
        <w:left w:type="dxa" w:w="108"/>
        <w:bottom w:type="dxa" w:w="0"/>
        <w:right w:type="dxa" w:w="108"/>
      </w:tblCellMar>
    </w:tblPr>
  </w:style>
  <w:style w:default="1" w:styleId="a2" w:type="numbering">
    <w:name w:val="No List"/>
    <w:uiPriority w:val="99"/>
    <w:semiHidden/>
    <w:unhideWhenUsed/>
  </w:style>
  <w:style w:styleId="a3" w:type="character">
    <w:name w:val="footnote reference"/>
    <w:semiHidden/>
    <w:rPr>
      <w:vertAlign w:val="superscript"/>
    </w:rPr>
  </w:style>
  <w:style w:styleId="a4" w:type="character">
    <w:name w:val="page number"/>
    <w:basedOn w:val="a0"/>
  </w:style>
  <w:style w:styleId="a5" w:type="character">
    <w:name w:val="FollowedHyperlink"/>
    <w:rPr>
      <w:color w:val="800080"/>
      <w:u w:val="single"/>
    </w:rPr>
  </w:style>
  <w:style w:styleId="a6" w:type="character">
    <w:name w:val="Hyperlink"/>
    <w:rPr>
      <w:color w:val="0000FF"/>
      <w:u w:val="single"/>
    </w:rPr>
  </w:style>
  <w:style w:customStyle="1" w:styleId="MemberType" w:type="character">
    <w:name w:val="MemberType"/>
    <w:rPr>
      <w:rFonts w:ascii="Times New Roman" w:cs="Times New Roman" w:hAnsi="Times New Roman"/>
      <w:i/>
      <w:iCs/>
      <w:sz w:val="22"/>
      <w:szCs w:val="22"/>
    </w:rPr>
  </w:style>
  <w:style w:customStyle="1" w:styleId="figurecaptionChar" w:type="character">
    <w:name w:val="figure caption Char"/>
    <w:basedOn w:val="FigureCaptionChar0"/>
    <w:link w:val="figurecaption"/>
    <w:rPr>
      <w:sz w:val="16"/>
      <w:szCs w:val="16"/>
      <w:lang w:eastAsia="en-US"/>
    </w:rPr>
  </w:style>
  <w:style w:customStyle="1" w:styleId="FigureCaptionChar0" w:type="character">
    <w:name w:val="Figure Caption Char"/>
    <w:link w:val="FigureCaption0"/>
    <w:rPr>
      <w:sz w:val="16"/>
      <w:szCs w:val="16"/>
      <w:lang w:eastAsia="en-US"/>
    </w:rPr>
  </w:style>
  <w:style w:styleId="a7" w:type="paragraph">
    <w:name w:val="Title"/>
    <w:basedOn w:val="a"/>
    <w:next w:val="FirstParagraph"/>
    <w:qFormat/>
    <w:pPr>
      <w:spacing w:after="300" w:before="0" w:line="360" w:lineRule="auto"/>
      <w:jc w:val="center"/>
    </w:pPr>
    <w:rPr>
      <w:rFonts w:ascii="Arial" w:cs="Arial" w:eastAsia="Calibri" w:hAnsi="Arial"/>
      <w:b/>
      <w:color w:val="17365D"/>
      <w:sz w:val="38"/>
      <w:szCs w:val="38"/>
    </w:rPr>
  </w:style>
  <w:style w:styleId="a8" w:type="paragraph">
    <w:name w:val="footnote text"/>
    <w:basedOn w:val="a"/>
    <w:semiHidden/>
    <w:pPr>
      <w:ind w:firstLine="202"/>
      <w:jc w:val="both"/>
    </w:pPr>
    <w:rPr>
      <w:sz w:val="16"/>
      <w:szCs w:val="16"/>
    </w:rPr>
  </w:style>
  <w:style w:styleId="a9" w:type="paragraph">
    <w:name w:val="Body Text Indent"/>
    <w:basedOn w:val="a"/>
    <w:pPr>
      <w:ind w:hanging="630" w:left="630"/>
    </w:pPr>
    <w:rPr>
      <w:szCs w:val="24"/>
    </w:rPr>
  </w:style>
  <w:style w:styleId="aa" w:type="paragraph">
    <w:name w:val="footer"/>
    <w:basedOn w:val="a"/>
    <w:pPr>
      <w:tabs>
        <w:tab w:pos="4320" w:val="center"/>
        <w:tab w:pos="8640" w:val="right"/>
      </w:tabs>
    </w:pPr>
  </w:style>
  <w:style w:styleId="ab" w:type="paragraph">
    <w:name w:val="header"/>
    <w:basedOn w:val="a"/>
    <w:pPr>
      <w:tabs>
        <w:tab w:pos="4320" w:val="center"/>
        <w:tab w:pos="8640" w:val="right"/>
      </w:tabs>
    </w:pPr>
  </w:style>
  <w:style w:customStyle="1" w:styleId="Abstract" w:type="paragraph">
    <w:name w:val="Abstract"/>
    <w:basedOn w:val="a"/>
    <w:next w:val="a"/>
    <w:pPr>
      <w:spacing w:before="20"/>
      <w:ind w:firstLine="202"/>
      <w:jc w:val="both"/>
    </w:pPr>
    <w:rPr>
      <w:b/>
      <w:bCs/>
      <w:sz w:val="18"/>
      <w:szCs w:val="18"/>
    </w:rPr>
  </w:style>
  <w:style w:customStyle="1" w:styleId="Equation" w:type="paragraph">
    <w:name w:val="Equation"/>
    <w:basedOn w:val="a"/>
    <w:next w:val="a"/>
    <w:pPr>
      <w:widowControl w:val="0"/>
      <w:tabs>
        <w:tab w:pos="5040" w:val="right"/>
      </w:tabs>
      <w:spacing w:line="252" w:lineRule="auto"/>
      <w:jc w:val="both"/>
    </w:pPr>
  </w:style>
  <w:style w:customStyle="1" w:styleId="References" w:type="paragraph">
    <w:name w:val="References"/>
    <w:basedOn w:val="a"/>
    <w:pPr>
      <w:numPr>
        <w:numId w:val="2"/>
      </w:numPr>
      <w:tabs>
        <w:tab w:pos="360" w:val="left"/>
      </w:tabs>
      <w:jc w:val="both"/>
    </w:pPr>
    <w:rPr>
      <w:sz w:val="16"/>
      <w:szCs w:val="16"/>
    </w:rPr>
  </w:style>
  <w:style w:customStyle="1" w:styleId="Authors" w:type="paragraph">
    <w:name w:val="Authors"/>
    <w:basedOn w:val="a"/>
    <w:next w:val="a"/>
    <w:pPr>
      <w:framePr w:hAnchor="page" w:hSpace="187" w:vAnchor="text" w:vSpace="187" w:w="9072" w:wrap="notBeside" w:xAlign="center" w:y="1"/>
      <w:spacing w:after="320"/>
      <w:jc w:val="center"/>
    </w:pPr>
    <w:rPr>
      <w:sz w:val="22"/>
      <w:szCs w:val="22"/>
    </w:rPr>
  </w:style>
  <w:style w:customStyle="1" w:styleId="TableTitle" w:type="paragraph">
    <w:name w:val="Table Title"/>
    <w:basedOn w:val="a"/>
    <w:next w:val="Compact"/>
    <w:pPr>
      <w:spacing w:after="40" w:before="80" w:line="240" w:lineRule="auto"/>
      <w:jc w:val="left"/>
    </w:pPr>
    <w:rPr>
      <w:rFonts w:ascii="Arial" w:cs="Arial" w:eastAsia="Calibri" w:hAnsi="Arial"/>
      <w:b/>
      <w:color w:val="44546A"/>
      <w:sz w:val="20"/>
      <w:szCs w:val="20"/>
    </w:rPr>
  </w:style>
  <w:style w:customStyle="1" w:styleId="Text" w:type="paragraph">
    <w:name w:val="Text"/>
    <w:basedOn w:val="a"/>
    <w:pPr>
      <w:widowControl w:val="0"/>
      <w:spacing w:line="252" w:lineRule="auto"/>
      <w:ind w:firstLine="202"/>
      <w:jc w:val="both"/>
    </w:pPr>
  </w:style>
  <w:style w:customStyle="1" w:styleId="IndexTerms" w:type="paragraph">
    <w:name w:val="IndexTerms"/>
    <w:basedOn w:val="a"/>
    <w:next w:val="a"/>
    <w:pPr>
      <w:ind w:firstLine="202"/>
      <w:jc w:val="both"/>
    </w:pPr>
    <w:rPr>
      <w:b/>
      <w:bCs/>
      <w:sz w:val="18"/>
      <w:szCs w:val="18"/>
    </w:rPr>
  </w:style>
  <w:style w:customStyle="1" w:styleId="FigureCaption0" w:type="paragraph">
    <w:name w:val="Figure Caption"/>
    <w:basedOn w:val="a"/>
    <w:link w:val="FigureCaptionChar0"/>
    <w:pPr>
      <w:spacing w:after="60" w:before="40" w:line="240" w:lineRule="auto"/>
      <w:jc w:val="center"/>
    </w:pPr>
    <w:rPr>
      <w:rFonts w:ascii="Arial" w:cs="Arial" w:eastAsia="Calibri" w:hAnsi="Arial"/>
      <w:i/>
      <w:color w:val="44546A"/>
      <w:sz w:val="20"/>
      <w:szCs w:val="20"/>
    </w:rPr>
  </w:style>
  <w:style w:customStyle="1" w:styleId="ReferenceHead" w:type="paragraph">
    <w:name w:val="Reference Head"/>
    <w:basedOn w:val="1"/>
    <w:pPr>
      <w:numPr>
        <w:numId w:val="0"/>
      </w:numPr>
    </w:pPr>
  </w:style>
  <w:style w:customStyle="1" w:styleId="figurecaption" w:type="paragraph">
    <w:name w:val="figure caption"/>
    <w:basedOn w:val="FigureCaption0"/>
    <w:link w:val="figurecaptionChar"/>
    <w:qFormat/>
    <w:pPr>
      <w:jc w:val="center"/>
    </w:pPr>
  </w:style>
  <w:style w:styleId="ac" w:type="table">
    <w:name w:val="Table Grid"/>
    <w:basedOn w:val="a1"/>
    <w:tblPr>
      <w:tblBorders>
        <w:top w:color="B8CCE4" w:space="0" w:sz="6" w:val="single"/>
        <w:left w:color="B8CCE4" w:space="0" w:sz="6" w:val="single"/>
        <w:bottom w:color="B8CCE4" w:space="0" w:sz="6" w:val="single"/>
        <w:right w:color="B8CCE4" w:space="0" w:sz="6" w:val="single"/>
        <w:insideH w:color="DCE6F1" w:space="0" w:sz="6" w:val="single"/>
        <w:insideV w:color="DCE6F1" w:space="0" w:sz="6" w:val="single"/>
      </w:tblBorders>
      <w:tblCellMar>
        <w:top w:type="dxa" w:w="60"/>
        <w:left w:type="dxa" w:w="120"/>
        <w:bottom w:type="dxa" w:w="60"/>
        <w:right w:type="dxa" w:w="120"/>
      </w:tblCellMar>
    </w:tblPr>
  </w:style>
  <w:style w:customStyle="1" w:styleId="FirstParagraph" w:type="paragraph">
    <w:name w:val="First Paragraph"/>
    <w:basedOn w:val="a"/>
    <w:next w:val="a"/>
    <w:qFormat/>
    <w:pPr>
      <w:spacing w:after="80" w:before="0" w:line="300" w:lineRule="auto"/>
      <w:jc w:val="both"/>
    </w:pPr>
    <w:rPr>
      <w:rFonts w:ascii="Arial" w:cs="Arial" w:eastAsia="Calibri" w:hAnsi="Arial"/>
      <w:color w:val="1F2937"/>
      <w:sz w:val="22"/>
      <w:szCs w:val="22"/>
    </w:rPr>
  </w:style>
  <w:style w:customStyle="1" w:styleId="Compact" w:type="paragraph">
    <w:name w:val="Compact"/>
    <w:basedOn w:val="a"/>
    <w:qFormat/>
    <w:pPr>
      <w:spacing w:after="20" w:before="0" w:line="264" w:lineRule="auto"/>
      <w:jc w:val="left"/>
    </w:pPr>
    <w:rPr>
      <w:rFonts w:ascii="Arial" w:cs="Arial" w:eastAsia="Calibri" w:hAnsi="Arial"/>
      <w:color w:val="1F2937"/>
      <w:sz w:val="20"/>
      <w:szCs w:val="20"/>
    </w:rPr>
  </w:style>
  <w:style w:customStyle="1" w:styleId="SourceCode" w:type="paragraph">
    <w:name w:val="Source Code"/>
    <w:basedOn w:val="a"/>
    <w:next w:val="a"/>
    <w:link w:val="VerbatimChar"/>
    <w:pPr>
      <w:spacing w:after="80" w:before="40" w:line="252" w:lineRule="auto"/>
      <w:ind w:left="180" w:right="180"/>
      <w:shd w:color="auto" w:fill="F8FAFC" w:val="clear"/>
      <w:wordWrap w:val="off"/>
    </w:pPr>
    <w:rPr>
      <w:rFonts w:ascii="Consolas" w:cs="Consolas" w:eastAsia="Consolas" w:hAnsi="Consolas"/>
      <w:color w:val="334155"/>
      <w:sz w:val="20"/>
      <w:szCs w:val="20"/>
    </w:rPr>
  </w:style>
  <w:style w:customStyle="1" w:styleId="VerbatimChar" w:type="character">
    <w:name w:val="Verbatim Char"/>
    <w:basedOn w:val="a0"/>
    <w:rPr>
      <w:rFonts w:ascii="Consolas" w:cs="Consolas" w:eastAsia="Consolas" w:hAnsi="Consolas"/>
      <w:color w:val="334155"/>
      <w:sz w:val="20"/>
      <w:szCs w:val="20"/>
    </w:rPr>
  </w:style>
  <w:style w:customStyle="1" w:styleId="KeywordTok" w:type="character">
    <w:name w:val="KeywordTok"/>
    <w:basedOn w:val="VerbatimChar"/>
    <w:rPr>
      <w:b/>
      <w:color w:val="007020"/>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b/>
      <w:color w:val="008000"/>
    </w:rPr>
  </w:style>
  <w:style w:customStyle="1" w:styleId="CommentTok" w:type="character">
    <w:name w:val="CommentTok"/>
    <w:basedOn w:val="VerbatimChar"/>
    <w:rPr>
      <w:i/>
      <w:color w:val="60a0b0"/>
    </w:rPr>
  </w:style>
  <w:style w:customStyle="1" w:styleId="DocumentationTok" w:type="character">
    <w:name w:val="DocumentationTok"/>
    <w:basedOn w:val="VerbatimChar"/>
    <w:rPr>
      <w:i/>
      <w:color w:val="ba2121"/>
    </w:rPr>
  </w:style>
  <w:style w:customStyle="1" w:styleId="AnnotationTok" w:type="character">
    <w:name w:val="AnnotationTok"/>
    <w:basedOn w:val="VerbatimChar"/>
    <w:rPr>
      <w:b/>
      <w:i/>
      <w:color w:val="60a0b0"/>
    </w:rPr>
  </w:style>
  <w:style w:customStyle="1" w:styleId="CommentVarTok" w:type="character">
    <w:name w:val="CommentVarTok"/>
    <w:basedOn w:val="VerbatimChar"/>
    <w:rPr>
      <w:b/>
      <w:i/>
      <w:color w:val="60a0b0"/>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b/>
      <w:color w:val="007020"/>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b/>
      <w:i/>
      <w:color w:val="60a0b0"/>
    </w:rPr>
  </w:style>
  <w:style w:customStyle="1" w:styleId="WarningTok" w:type="character">
    <w:name w:val="WarningTok"/>
    <w:basedOn w:val="VerbatimChar"/>
    <w:rPr>
      <w:b/>
      <w:i/>
      <w:color w:val="60a0b0"/>
    </w:rPr>
  </w:style>
  <w:style w:customStyle="1" w:styleId="AlertTok" w:type="character">
    <w:name w:val="AlertTok"/>
    <w:basedOn w:val="VerbatimChar"/>
    <w:rPr>
      <w:b/>
      <w:color w:val="ff0000"/>
    </w:rPr>
  </w:style>
  <w:style w:customStyle="1" w:styleId="ErrorTok" w:type="character">
    <w:name w:val="ErrorTok"/>
    <w:basedOn w:val="VerbatimChar"/>
    <w:rPr>
      <w:b/>
      <w:color w:val="ff0000"/>
    </w:rPr>
  </w:style>
  <w:style w:customStyle="1" w:styleId="NormalTok" w:type="character">
    <w:name w:val="NormalTok"/>
    <w:basedOn w:val="VerbatimChar"/>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webSettings>
</file>