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media/image1.wmf" ContentType="image/x-wmf"/>
  <Override PartName="/word/media/image2.png" ContentType="image/png"/>
  <Override PartName="/word/media/image3.wmf" ContentType="image/x-wmf"/>
</Types>
</file>

<file path=_rels\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docProps\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4</DocSecurity>
  <Lines>0</Lines>
  <Paragraphs>0</Paragraphs>
  <ScaleCrop>false</ScaleCrop>
  <Company>
  </Company>
  <LinksUpToDate>false</LinksUpToDate>
  <CharactersWithSpaces>0</CharactersWithSpaces>
  <SharedDoc>false</SharedDoc>
  <HyperlinksChanged>false</HyperlinksChanged>
  <AppVersion>16.0000</AppVersion>
</Properties>
</file>

<file path=docProps\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creator>
  </dc:creator>
  <cp:keywords>
  </cp:keywords>
  <dcterms:created xsi:type="dcterms:W3CDTF">2026-04-28T16:08:26Z</dcterms:created>
  <dcterms:modified xsi:type="dcterms:W3CDTF">2026-04-28T16:08:26Z</dcterms:modified>
</cp:coreProperties>
</file>

<file path=docProps\custom.xml><?xml version="1.0" encoding="utf-8"?>
<Properties xmlns="http://schemas.openxmlformats.org/officeDocument/2006/custom-properties" xmlns:vt="http://schemas.openxmlformats.org/officeDocument/2006/docPropsVTypes"/>
</file>

<file path=word\_rels\document.xml.rels><?xml version="1.0" encoding="UTF-8"?><Relationships xmlns="http://schemas.openxmlformats.org/package/2006/relationships"><Relationship Type="http://schemas.openxmlformats.org/officeDocument/2006/relationships/numbering" Id="rId21" Target="numbering.xml" /><Relationship Type="http://schemas.openxmlformats.org/officeDocument/2006/relationships/styles" Id="rId20" Target="styles.xml" /><Relationship Type="http://schemas.openxmlformats.org/officeDocument/2006/relationships/settings" Id="rId19" Target="settings.xml" /><Relationship Type="http://schemas.openxmlformats.org/officeDocument/2006/relationships/webSettings" Id="rId18" Target="webSettings.xml" /><Relationship Type="http://schemas.openxmlformats.org/officeDocument/2006/relationships/fontTable" Id="rId17" Target="fontTable.xml" /><Relationship Type="http://schemas.openxmlformats.org/officeDocument/2006/relationships/theme" Id="rId16" Target="theme/theme1.xml" /><Relationship Type="http://schemas.openxmlformats.org/officeDocument/2006/relationships/footnotes" Id="rId15" Target="footnotes.xml" /><Relationship Type="http://schemas.openxmlformats.org/officeDocument/2006/relationships/comments" Id="rId14" Target="comments.xml" /><Relationship Id="rId13" Target="header1.xml" Type="http://schemas.openxmlformats.org/officeDocument/2006/relationships/header" /><Relationship Id="rId7" Target="media/image1.wmf" Type="http://schemas.openxmlformats.org/officeDocument/2006/relationships/image" /><Relationship Id="rId10" Target="media/image3.wmf" Type="http://schemas.openxmlformats.org/officeDocument/2006/relationships/image" /><Relationship Id="rId9" Target="media/image2.png" Type="http://schemas.openxmlformats.org/officeDocument/2006/relationships/image" /></Relationships>
</file>

<file path=word\_rels\footnotes.xml.rels><?xml version="1.0" encoding="UTF-8"?><Relationships xmlns="http://schemas.openxmlformats.org/package/2006/relationships" />
</file>

<file path=word\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\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2" w:name="technical-document-reference-template"/>
    <w:p>
      <w:pPr>
        <w:pStyle w:val="1"/>
      </w:pPr>
      <w:r>
        <w:t xml:space="preserve">Technical Document Reference Template</w:t>
      </w:r>
    </w:p>
    <w:p>
      <w:pPr>
        <w:pStyle w:val="FirstParagraph"/>
      </w:pPr>
      <w:r>
        <w:t xml:space="preserve">This reference DOCX is standards-derived, not an official Word attachment. It is designed for software and IT technical documents such as architecture notes, design specifications, API handoff documents, deployment guides, user information, and operational runbooks.</w:t>
      </w:r>
    </w:p>
    <w:p>
      <w:pPr>
        <w:pStyle w:val="BodyText"/>
      </w:pPr>
      <w:r>
        <w:t xml:space="preserve">Primary authorities considered: ISO/IEC/IEEE 26514:2022 for software user information, ISO/IEC/IEEE 15289:2019 for life-cycle information items, ISO/IEC/IEEE 42010:2022 for architecture description, and current Chinese software documentation standards when a China-facing document is required. IEEE 1016-2009 is not used as a governing source because it is no longer an active primary standard.</w:t>
      </w:r>
    </w:p>
    <w:bookmarkEnd w:id="22"/>
    <w:bookmarkStart w:id="23" w:name="document-control-and-audience"/>
    <w:p>
      <w:pPr>
        <w:pStyle w:val="1"/>
      </w:pPr>
      <w:r>
        <w:t xml:space="preserve">1. Document Control and Audience</w:t>
      </w:r>
    </w:p>
    <w:p>
      <w:pPr>
        <w:pStyle w:val="FirstParagraph"/>
      </w:pPr>
      <w:r>
        <w:t xml:space="preserve">State the document purpose, owner, approval status, intended readers, confidentiality level, change history, and the product or system release covered by the document.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Field</w:t>
            </w:r>
          </w:p>
        </w:tc>
        <w:tc>
          <w:tcPr/>
          <w:p>
            <w:pPr>
              <w:pStyle w:val="Compact"/>
            </w:pPr>
            <w:r>
              <w:t xml:space="preserve">Guidance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Document owner</w:t>
            </w:r>
          </w:p>
        </w:tc>
        <w:tc>
          <w:tcPr/>
          <w:p>
            <w:pPr>
              <w:pStyle w:val="Compact"/>
            </w:pPr>
            <w:r>
              <w:t xml:space="preserve">Name the accountable team or role.</w:t>
            </w:r>
          </w:p>
        </w:tc>
      </w:tr>
      <w:tr>
        <w:tc>
          <w:tcPr/>
          <w:p>
            <w:pPr>
              <w:pStyle w:val="Compact"/>
            </w:pPr>
            <w:r>
              <w:t xml:space="preserve">Audience</w:t>
            </w:r>
          </w:p>
        </w:tc>
        <w:tc>
          <w:tcPr/>
          <w:p>
            <w:pPr>
              <w:pStyle w:val="Compact"/>
            </w:pPr>
            <w:r>
              <w:t xml:space="preserve">Identify users, developers, operators, auditors, or support teams.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Release scope</w:t>
            </w:r>
          </w:p>
        </w:tc>
        <w:tc>
          <w:tcPr/>
          <w:p>
            <w:pPr>
              <w:pStyle w:val="Compact"/>
            </w:pPr>
            <w:r>
              <w:t xml:space="preserve">Name the version, service, component, or deployment boundary.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Review status</w:t>
            </w:r>
          </w:p>
        </w:tc>
        <w:tc>
          <w:tcPr/>
          <w:p>
            <w:pPr>
              <w:pStyle w:val="Compact"/>
            </w:pPr>
            <w:r>
              <w:t xml:space="preserve">Record draft, reviewed, approved, superseded, or archived.</w:t>
            </w:r>
          </w:p>
        </w:tc>
      </w:tr>
    </w:tbl>
    <w:bookmarkEnd w:id="23"/>
    <w:bookmarkStart w:id="25" w:name="scope-terms-and-references"/>
    <w:p>
      <w:pPr>
        <w:pStyle w:val="1"/>
      </w:pPr>
      <w:r>
        <w:t xml:space="preserve">2. Scope, Terms, and References</w:t>
      </w:r>
    </w:p>
    <w:p>
      <w:pPr>
        <w:pStyle w:val="FirstParagraph"/>
      </w:pPr>
      <w:r>
        <w:t xml:space="preserve">Define the technical scope, non-goals, assumptions, dependencies, abbreviations, external standards, linked specifications, and source repositories that readers need before using the document.</w:t>
      </w:r>
    </w:p>
    <w:bookmarkStart w:id="24" w:name="normative-and-project-references"/>
    <w:p>
      <w:pPr>
        <w:pStyle w:val="2"/>
      </w:pPr>
      <w:r>
        <w:t xml:space="preserve">2.1 Normative and Project References</w:t>
      </w:r>
    </w:p>
    <w:p>
      <w:pPr>
        <w:pStyle w:val="FirstParagraph"/>
      </w:pPr>
      <w:r>
        <w:t xml:space="preserve">Use stable identifiers for referenced standards, architecture decisions, interface contracts, security policies, and operational procedures.</w:t>
      </w:r>
    </w:p>
    <w:bookmarkEnd w:id="24"/>
    <w:bookmarkEnd w:id="25"/>
    <w:bookmarkStart w:id="26" w:name="system-context-and-stakeholders"/>
    <w:p>
      <w:pPr>
        <w:pStyle w:val="1"/>
      </w:pPr>
      <w:r>
        <w:t xml:space="preserve">3. System Context and Stakeholders</w:t>
      </w:r>
    </w:p>
    <w:p>
      <w:pPr>
        <w:pStyle w:val="FirstParagraph"/>
      </w:pPr>
      <w:r>
        <w:t xml:space="preserve">Describe the operating environment, users, adjacent systems, data flows, trust boundaries, and the stakeholder concerns that the document must answer.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Stakeholder</w:t>
            </w:r>
          </w:p>
        </w:tc>
        <w:tc>
          <w:tcPr/>
          <w:p>
            <w:pPr>
              <w:pStyle w:val="Compact"/>
            </w:pPr>
            <w:r>
              <w:t xml:space="preserve">Concern</w:t>
            </w:r>
          </w:p>
        </w:tc>
        <w:tc>
          <w:tcPr/>
          <w:p>
            <w:pPr>
              <w:pStyle w:val="Compact"/>
            </w:pPr>
            <w:r>
              <w:t xml:space="preserve">Where Addressed</w:t>
            </w:r>
          </w:p>
        </w:tc>
      </w:tr>
      <w:tr>
        <w:tc>
          <w:tcPr/>
          <w:p>
            <w:pPr>
              <w:pStyle w:val="Compact"/>
            </w:pPr>
            <w:r>
              <w:t xml:space="preserve">Product owner</w:t>
            </w:r>
          </w:p>
        </w:tc>
        <w:tc>
          <w:tcPr/>
          <w:p>
            <w:pPr>
              <w:pStyle w:val="Compact"/>
            </w:pPr>
            <w:r>
              <w:t xml:space="preserve">Capability, scope, constraints</w:t>
            </w:r>
          </w:p>
        </w:tc>
        <w:tc>
          <w:tcPr/>
          <w:p>
            <w:pPr>
              <w:pStyle w:val="Compact"/>
            </w:pPr>
            <w:r>
              <w:t xml:space="preserve">Scope and requirements</w:t>
            </w:r>
          </w:p>
        </w:tc>
      </w:tr>
      <w:tr>
        <w:tc>
          <w:tcPr/>
          <w:p>
            <w:pPr>
              <w:pStyle w:val="Compact"/>
            </w:pPr>
            <w:r>
              <w:t xml:space="preserve">Engineering team</w:t>
            </w:r>
          </w:p>
        </w:tc>
        <w:tc>
          <w:tcPr/>
          <w:p>
            <w:pPr>
              <w:pStyle w:val="Compact"/>
            </w:pPr>
            <w:r>
              <w:t xml:space="preserve">Interfaces, data, errors</w:t>
            </w:r>
          </w:p>
        </w:tc>
        <w:tc>
          <w:tcPr/>
          <w:p>
            <w:pPr>
              <w:pStyle w:val="Compact"/>
            </w:pPr>
            <w:r>
              <w:t xml:space="preserve">Architecture and API sections</w:t>
            </w:r>
          </w:p>
        </w:tc>
      </w:tr>
      <w:tr>
        <w:tc>
          <w:tcPr/>
          <w:p>
            <w:pPr>
              <w:pStyle w:val="Compact"/>
            </w:pPr>
            <w:r>
              <w:t xml:space="preserve">Operations team</w:t>
            </w:r>
          </w:p>
        </w:tc>
        <w:tc>
          <w:tcPr/>
          <w:p>
            <w:pPr>
              <w:pStyle w:val="Compact"/>
            </w:pPr>
            <w:r>
              <w:t xml:space="preserve">Deployment, monitoring, recovery</w:t>
            </w:r>
          </w:p>
        </w:tc>
        <w:tc>
          <w:tcPr/>
          <w:p>
            <w:pPr>
              <w:pStyle w:val="Compact"/>
            </w:pPr>
            <w:r>
              <w:t xml:space="preserve">Operations section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Security reviewer</w:t>
            </w:r>
          </w:p>
        </w:tc>
        <w:tc>
          <w:tcPr/>
          <w:p>
            <w:pPr>
              <w:pStyle w:val="Compact"/>
            </w:pPr>
            <w:r>
              <w:t xml:space="preserve">Access, data protection, audit</w:t>
            </w:r>
          </w:p>
        </w:tc>
        <w:tc>
          <w:tcPr/>
          <w:p>
            <w:pPr>
              <w:pStyle w:val="Compact"/>
            </w:pPr>
            <w:r>
              <w:t xml:space="preserve">Security and risk section</w:t>
            </w:r>
          </w:p>
        </w:tc>
      </w:tr>
    </w:tbl>
    <w:bookmarkEnd w:id="26"/>
    <w:bookmarkStart w:id="28" w:name="architecture-views-and-interfaces"/>
    <w:p>
      <w:pPr>
        <w:pStyle w:val="1"/>
      </w:pPr>
      <w:r>
        <w:t xml:space="preserve">4. Architecture Views and Interfaces</w:t>
      </w:r>
    </w:p>
    <w:p>
      <w:pPr>
        <w:pStyle w:val="FirstParagraph"/>
      </w:pPr>
      <w:r>
        <w:t xml:space="preserve">Present the system using views that match stakeholder concerns: context view, component view, deployment view, data view, and operational view. For each view, explain responsibilities, dependencies, constraints, and known trade-offs.</w:t>
      </w:r>
    </w:p>
    <w:bookmarkStart w:id="27" w:name="interface-contract-example"/>
    <w:p>
      <w:pPr>
        <w:pStyle w:val="2"/>
      </w:pPr>
      <w:r>
        <w:t xml:space="preserve">4.1 Interface Contract Example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Interface</w:t>
            </w:r>
          </w:p>
        </w:tc>
        <w:tc>
          <w:tcPr/>
          <w:p>
            <w:pPr>
              <w:pStyle w:val="Compact"/>
            </w:pPr>
            <w:r>
              <w:t xml:space="preserve">Direction</w:t>
            </w:r>
          </w:p>
        </w:tc>
        <w:tc>
          <w:tcPr/>
          <w:p>
            <w:pPr>
              <w:pStyle w:val="Compact"/>
            </w:pPr>
            <w:r>
              <w:t xml:space="preserve">Protocol</w:t>
            </w:r>
          </w:p>
        </w:tc>
        <w:tc>
          <w:tcPr/>
          <w:p>
            <w:pPr>
              <w:pStyle w:val="Compact"/>
            </w:pPr>
            <w:r>
              <w:t xml:space="preserve">Required Fields</w:t>
            </w:r>
          </w:p>
        </w:tc>
        <w:tc>
          <w:tcPr/>
          <w:p>
            <w:pPr>
              <w:pStyle w:val="Compact"/>
            </w:pPr>
            <w:r>
              <w:t xml:space="preserve">Failure Handling</w:t>
            </w:r>
          </w:p>
        </w:tc>
      </w:tr>
      <w:tr>
        <w:tc>
          <w:tcPr/>
          <w:p>
            <w:pPr>
              <w:pStyle w:val="Compact"/>
            </w:pPr>
            <w:r>
              <w:t xml:space="preserve">Export request</w:t>
            </w:r>
          </w:p>
        </w:tc>
        <w:tc>
          <w:tcPr/>
          <w:p>
            <w:pPr>
              <w:pStyle w:val="Compact"/>
            </w:pPr>
            <w:r>
              <w:t xml:space="preserve">Client to service</w:t>
            </w:r>
          </w:p>
        </w:tc>
        <w:tc>
          <w:tcPr/>
          <w:p>
            <w:pPr>
              <w:pStyle w:val="Compact"/>
            </w:pPr>
            <w:r>
              <w:t xml:space="preserve">HTTPS JSON</w:t>
            </w:r>
          </w:p>
        </w:tc>
        <w:tc>
          <w:tcPr/>
          <w:p>
            <w:pPr>
              <w:pStyle w:val="Compact"/>
            </w:pPr>
            <w:r>
              <w:t xml:space="preserve">source, profile, locale</w:t>
            </w:r>
          </w:p>
        </w:tc>
        <w:tc>
          <w:tcPr/>
          <w:p>
            <w:pPr>
              <w:pStyle w:val="Compact"/>
            </w:pPr>
            <w:r>
              <w:t xml:space="preserve">Return typed error and trace id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Render result</w:t>
            </w:r>
          </w:p>
        </w:tc>
        <w:tc>
          <w:tcPr/>
          <w:p>
            <w:pPr>
              <w:pStyle w:val="Compact"/>
            </w:pPr>
            <w:r>
              <w:t xml:space="preserve">Service to storage</w:t>
            </w:r>
          </w:p>
        </w:tc>
        <w:tc>
          <w:tcPr/>
          <w:p>
            <w:pPr>
              <w:pStyle w:val="Compact"/>
            </w:pPr>
            <w:r>
              <w:t xml:space="preserve">Object write</w:t>
            </w:r>
          </w:p>
        </w:tc>
        <w:tc>
          <w:tcPr/>
          <w:p>
            <w:pPr>
              <w:pStyle w:val="Compact"/>
            </w:pPr>
            <w:r>
              <w:t xml:space="preserve">docx, metadata</w:t>
            </w:r>
          </w:p>
        </w:tc>
        <w:tc>
          <w:tcPr/>
          <w:p>
            <w:pPr>
              <w:pStyle w:val="Compact"/>
            </w:pPr>
            <w:r>
              <w:t xml:space="preserve">Retry with idempotency key</w:t>
            </w:r>
          </w:p>
        </w:tc>
      </w:tr>
    </w:tbl>
    <w:p>
      <w:pPr>
        <w:pStyle w:val="SourceCode"/>
      </w:pPr>
      <w:r>
        <w:rPr>
          <w:rStyle w:val="FunctionTok"/>
        </w:rPr>
        <w:t xml:space="preserve">service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document-export</w:t>
      </w:r>
      <w:r>
        <w:br/>
      </w:r>
      <w:r>
        <w:rPr>
          <w:rStyle w:val="FunctionTok"/>
        </w:rPr>
        <w:t xml:space="preserve">endpoint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POST /api/v1/exports</w:t>
      </w:r>
      <w:r>
        <w:br/>
      </w:r>
      <w:r>
        <w:rPr>
          <w:rStyle w:val="FunctionTok"/>
        </w:rPr>
        <w:t xml:space="preserve">auth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bearer-token</w:t>
      </w:r>
      <w:r>
        <w:br/>
      </w:r>
      <w:r>
        <w:rPr>
          <w:rStyle w:val="FunctionTok"/>
        </w:rPr>
        <w:t xml:space="preserve">timeout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30s</w:t>
      </w:r>
      <w:r>
        <w:br/>
      </w:r>
      <w:r>
        <w:rPr>
          <w:rStyle w:val="FunctionTok"/>
        </w:rPr>
        <w:t xml:space="preserve">observability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logs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structured-json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metrics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export_latency_ms</w:t>
      </w:r>
    </w:p>
    <w:bookmarkEnd w:id="27"/>
    <w:bookmarkEnd w:id="28"/>
    <w:bookmarkStart w:id="29" w:name="functional-data-and-quality-requirements"/>
    <w:p>
      <w:pPr>
        <w:pStyle w:val="1"/>
      </w:pPr>
      <w:r>
        <w:t xml:space="preserve">5. Functional, Data, and Quality Requirements</w:t>
      </w:r>
    </w:p>
    <w:p>
      <w:pPr>
        <w:pStyle w:val="FirstParagraph"/>
      </w:pPr>
      <w:r>
        <w:t xml:space="preserve">Record functional behavior, data definitions, quality attributes, compatibility requirements, accessibility or localization expectations, and measurable acceptance criteria.</w:t>
      </w:r>
    </w:p>
    <w:bookmarkEnd w:id="29"/>
    <w:bookmarkStart w:id="30" w:name="deployment-operations-and-support"/>
    <w:p>
      <w:pPr>
        <w:pStyle w:val="1"/>
      </w:pPr>
      <w:r>
        <w:t xml:space="preserve">6. Deployment, Operations, and Support</w:t>
      </w:r>
    </w:p>
    <w:p>
      <w:pPr>
        <w:pStyle w:val="FirstParagraph"/>
      </w:pPr>
      <w:r>
        <w:t xml:space="preserve">Document runtime dependencies, configuration, deployment sequence, monitoring, alert thresholds, backup and recovery behavior, rollback conditions, service ownership, and support escalation.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Operational Area</w:t>
            </w:r>
          </w:p>
        </w:tc>
        <w:tc>
          <w:tcPr/>
          <w:p>
            <w:pPr>
              <w:pStyle w:val="Compact"/>
            </w:pPr>
            <w:r>
              <w:t xml:space="preserve">Required Content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Configuration</w:t>
            </w:r>
          </w:p>
        </w:tc>
        <w:tc>
          <w:tcPr/>
          <w:p>
            <w:pPr>
              <w:pStyle w:val="Compact"/>
            </w:pPr>
            <w:r>
              <w:t xml:space="preserve">Environment variables, secrets, defaults, rotation rules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Monitoring</w:t>
            </w:r>
          </w:p>
        </w:tc>
        <w:tc>
          <w:tcPr/>
          <w:p>
            <w:pPr>
              <w:pStyle w:val="Compact"/>
            </w:pPr>
            <w:r>
              <w:t xml:space="preserve">Metrics, logs, dashboards, alert owners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Recovery</w:t>
            </w:r>
          </w:p>
        </w:tc>
        <w:tc>
          <w:tcPr/>
          <w:p>
            <w:pPr>
              <w:pStyle w:val="Compact"/>
            </w:pPr>
            <w:r>
              <w:t xml:space="preserve">Backup schedule, restore test, rollback trigger</w:t>
            </w:r>
          </w:p>
        </w:tc>
      </w:tr>
      <w:tr>
        <w:tc>
          <w:tcPr/>
          <w:p>
            <w:pPr>
              <w:pStyle w:val="Compact"/>
            </w:pPr>
            <w:r>
              <w:t xml:space="preserve">Support</w:t>
            </w:r>
          </w:p>
        </w:tc>
        <w:tc>
          <w:tcPr/>
          <w:p>
            <w:pPr>
              <w:pStyle w:val="Compact"/>
            </w:pPr>
            <w:r>
              <w:t xml:space="preserve">Triage path, known issues, service-level target</w:t>
            </w:r>
          </w:p>
        </w:tc>
      </w:tr>
    </w:tbl>
    <w:bookmarkEnd w:id="30"/>
    <w:bookmarkStart w:id="31" w:name="security-privacy-and-risk"/>
    <w:p>
      <w:pPr>
        <w:pStyle w:val="1"/>
      </w:pPr>
      <w:r>
        <w:t xml:space="preserve">7. Security, Privacy, and Risk</w:t>
      </w:r>
    </w:p>
    <w:p>
      <w:pPr>
        <w:pStyle w:val="FirstParagraph"/>
      </w:pPr>
      <w:r>
        <w:t xml:space="preserve">Summarize authentication, authorization, data classification, retention, audit logging, privacy controls, threat assumptions, and residual risks.</w:t>
      </w:r>
    </w:p>
    <w:bookmarkEnd w:id="31"/>
    <w:bookmarkStart w:id="32" w:name="verification-and-change-record"/>
    <w:p>
      <w:pPr>
        <w:pStyle w:val="1"/>
      </w:pPr>
      <w:r>
        <w:t xml:space="preserve">8. Verification and Change Record</w:t>
      </w:r>
    </w:p>
    <w:p>
      <w:pPr>
        <w:pStyle w:val="FirstParagraph"/>
      </w:pPr>
      <w:r>
        <w:t xml:space="preserve">List review evidence, test coverage, validation steps, open issues, and version history. Use this section to keep the document useful after implementation.</w:t>
      </w:r>
    </w:p>
    <w:bookmarkEnd w:id="32"/>
    <w:sectPr w:rsidR="00AD56CE">
      <w:headerReference r:id="rId13" w:type="default"/>
      <w:pgSz w:h="16839" w:w="11907"/>
      <w:pgMar w:bottom="1440" w:footer="431" w:gutter="0" w:header="431" w:left="1440" w:right="1440" w:top="1440"/>
      <w:cols w:num="2" w:space="288"/>
    </w:sectPr>
  </w:body>
</w:document>
</file>

<file path=word\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\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\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12ABC" w14:textId="77777777" w:rsidR="00AD56CE" w:rsidRDefault="00AD56CE">
    <w:pPr>
      <w:framePr w:wrap="around" w:vAnchor="text" w:hAnchor="margin" w:xAlign="right" w:y="1"/>
    </w:pPr>
  </w:p>
  <w:p w14:paraId="1441552D" w14:textId="77777777" w:rsidR="00AD56CE" w:rsidRDefault="00AD56CE">
    <w:pPr>
      <w:tabs>
        <w:tab w:val="left" w:pos="5670"/>
      </w:tabs>
      <w:ind w:right="360"/>
    </w:pPr>
  </w:p>
</w:hdr>
</file>

<file path=word\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FFFFFFFB"/>
    <w:multiLevelType w:val="multilevel"/>
    <w:tmpl w:val="FFFFFFFB"/>
    <w:lvl w:ilvl="0">
      <w:start w:val="1"/>
      <w:numFmt w:val="upperRoman"/>
      <w:lvlText w:val="%1."/>
      <w:legacy w:legacy="1" w:legacyIndent="144" w:legacySpace="144"/>
      <w:lvlJc w:val="left"/>
    </w:lvl>
    <w:lvl w:ilvl="1">
      <w:start w:val="1"/>
      <w:numFmt w:val="upperLetter"/>
      <w:lvlText w:val="%2."/>
      <w:legacy w:legacy="1" w:legacyIndent="144" w:legacySpace="144"/>
      <w:lvlJc w:val="left"/>
    </w:lvl>
    <w:lvl w:ilvl="2">
      <w:start w:val="1"/>
      <w:numFmt w:val="decimal"/>
      <w:lvlText w:val="%3)"/>
      <w:legacy w:legacy="1" w:legacyIndent="144" w:legacySpace="144"/>
      <w:lvlJc w:val="left"/>
    </w:lvl>
    <w:lvl w:ilvl="3">
      <w:start w:val="1"/>
      <w:numFmt w:val="lowerLetter"/>
      <w:lvlText w:val="%4)"/>
      <w:lvlJc w:val="left"/>
      <w:pPr>
        <w:ind w:hanging="720" w:left="1152"/>
      </w:pPr>
    </w:lvl>
    <w:lvl w:ilvl="4">
      <w:start w:val="1"/>
      <w:numFmt w:val="decimal"/>
      <w:lvlText w:val="(%5)"/>
      <w:legacy w:legacy="1" w:legacyIndent="720" w:legacySpace="0"/>
      <w:lvlJc w:val="left"/>
      <w:pPr>
        <w:ind w:hanging="720" w:left="1872"/>
      </w:pPr>
    </w:lvl>
    <w:lvl w:ilvl="5">
      <w:start w:val="1"/>
      <w:numFmt w:val="lowerLetter"/>
      <w:lvlText w:val="(%6)"/>
      <w:legacy w:legacy="1" w:legacyIndent="720" w:legacySpace="0"/>
      <w:lvlJc w:val="left"/>
      <w:pPr>
        <w:ind w:hanging="720" w:left="2592"/>
      </w:pPr>
    </w:lvl>
    <w:lvl w:ilvl="6">
      <w:start w:val="1"/>
      <w:numFmt w:val="lowerRoman"/>
      <w:lvlText w:val="(%7)"/>
      <w:legacy w:legacy="1" w:legacyIndent="720" w:legacySpace="0"/>
      <w:lvlJc w:val="left"/>
      <w:pPr>
        <w:ind w:hanging="720" w:left="3312"/>
      </w:pPr>
    </w:lvl>
    <w:lvl w:ilvl="7">
      <w:start w:val="1"/>
      <w:numFmt w:val="lowerLetter"/>
      <w:lvlText w:val="(%8)"/>
      <w:legacy w:legacy="1" w:legacyIndent="720" w:legacySpace="0"/>
      <w:lvlJc w:val="left"/>
      <w:pPr>
        <w:ind w:hanging="720" w:left="4032"/>
      </w:pPr>
    </w:lvl>
    <w:lvl w:ilvl="8">
      <w:start w:val="1"/>
      <w:numFmt w:val="lowerRoman"/>
      <w:lvlText w:val="(%9)"/>
      <w:legacy w:legacy="1" w:legacyIndent="720" w:legacySpace="0"/>
      <w:lvlJc w:val="left"/>
      <w:pPr>
        <w:ind w:hanging="720" w:left="4752"/>
      </w:pPr>
    </w:lvl>
  </w:abstractNum>
  <w:abstractNum w15:restartNumberingAfterBreak="0" w:abstractNumId="1">
    <w:nsid w:val="2517274C"/>
    <w:multiLevelType w:val="singleLevel"/>
    <w:tmpl w:val="2517274C"/>
    <w:lvl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2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pos="360" w:val="num"/>
        </w:tabs>
        <w:ind w:hanging="360" w:left="36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281426172" w:numId="1">
    <w:abstractNumId w:val="0"/>
  </w:num>
  <w:num w16cid:durableId="1625692853" w:numId="2">
    <w:abstractNumId w:val="2"/>
  </w:num>
  <w:num w16cid:durableId="916016178" w:numId="3">
    <w:abstractNumId w:val="1"/>
  </w:num>
  <w:num w:numId="1000">
    <w:abstractNumId w:val="990"/>
  </w:num>
</w:numbering>
</file>

<file path=word\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oNotTrackMoves/>
  <w:defaultTabStop w:val="202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hdrShapeDefaults>
    <o:shapedefaults spidmax="2057" v:ext="edit"/>
  </w:hdrShapeDefaults>
  <w:compat>
    <w:lineWrapLikeWord6/>
    <w:printColBlack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092C"/>
    <w:rsid w:val="00006E2D"/>
    <w:rsid w:val="00010A35"/>
    <w:rsid w:val="00020A6B"/>
    <w:rsid w:val="00022AD7"/>
    <w:rsid w:val="00023D9D"/>
    <w:rsid w:val="000308F0"/>
    <w:rsid w:val="00031F45"/>
    <w:rsid w:val="0003482B"/>
    <w:rsid w:val="00053099"/>
    <w:rsid w:val="00065FA3"/>
    <w:rsid w:val="00070579"/>
    <w:rsid w:val="00073A7B"/>
    <w:rsid w:val="00093946"/>
    <w:rsid w:val="000A3E12"/>
    <w:rsid w:val="000A549A"/>
    <w:rsid w:val="000C1765"/>
    <w:rsid w:val="000D2B00"/>
    <w:rsid w:val="000E1DFC"/>
    <w:rsid w:val="001179E0"/>
    <w:rsid w:val="00121A46"/>
    <w:rsid w:val="00131CDC"/>
    <w:rsid w:val="001913C4"/>
    <w:rsid w:val="00197551"/>
    <w:rsid w:val="001A0C37"/>
    <w:rsid w:val="001C5E06"/>
    <w:rsid w:val="001D3F54"/>
    <w:rsid w:val="001D59D3"/>
    <w:rsid w:val="001F746D"/>
    <w:rsid w:val="00216660"/>
    <w:rsid w:val="002255DB"/>
    <w:rsid w:val="00227166"/>
    <w:rsid w:val="00230B31"/>
    <w:rsid w:val="00241BD8"/>
    <w:rsid w:val="00243A96"/>
    <w:rsid w:val="00256C95"/>
    <w:rsid w:val="00272F1A"/>
    <w:rsid w:val="002A0D03"/>
    <w:rsid w:val="002C2613"/>
    <w:rsid w:val="002D2DE0"/>
    <w:rsid w:val="002D3073"/>
    <w:rsid w:val="002E2C98"/>
    <w:rsid w:val="002F7706"/>
    <w:rsid w:val="00302A1D"/>
    <w:rsid w:val="00302A86"/>
    <w:rsid w:val="00306191"/>
    <w:rsid w:val="003443AB"/>
    <w:rsid w:val="003544EE"/>
    <w:rsid w:val="00375A49"/>
    <w:rsid w:val="00390DB2"/>
    <w:rsid w:val="00395C28"/>
    <w:rsid w:val="003A2CDE"/>
    <w:rsid w:val="003A40B2"/>
    <w:rsid w:val="003A59F2"/>
    <w:rsid w:val="003B3425"/>
    <w:rsid w:val="003C1795"/>
    <w:rsid w:val="003F1116"/>
    <w:rsid w:val="003F4CE4"/>
    <w:rsid w:val="003F54EF"/>
    <w:rsid w:val="00403BDA"/>
    <w:rsid w:val="004117EE"/>
    <w:rsid w:val="004125D8"/>
    <w:rsid w:val="004246EA"/>
    <w:rsid w:val="00424F3C"/>
    <w:rsid w:val="00450809"/>
    <w:rsid w:val="004626D3"/>
    <w:rsid w:val="0046698A"/>
    <w:rsid w:val="004B26AC"/>
    <w:rsid w:val="004D3136"/>
    <w:rsid w:val="004E3A86"/>
    <w:rsid w:val="00502298"/>
    <w:rsid w:val="0050306C"/>
    <w:rsid w:val="00504CB6"/>
    <w:rsid w:val="00513ED0"/>
    <w:rsid w:val="005364F9"/>
    <w:rsid w:val="00550132"/>
    <w:rsid w:val="00556AF4"/>
    <w:rsid w:val="005707AE"/>
    <w:rsid w:val="00594D5D"/>
    <w:rsid w:val="005A4749"/>
    <w:rsid w:val="005D39C9"/>
    <w:rsid w:val="005D5B15"/>
    <w:rsid w:val="005F2365"/>
    <w:rsid w:val="005F2982"/>
    <w:rsid w:val="005F42CC"/>
    <w:rsid w:val="005F7847"/>
    <w:rsid w:val="006054B2"/>
    <w:rsid w:val="0064626B"/>
    <w:rsid w:val="00650FDB"/>
    <w:rsid w:val="0065530C"/>
    <w:rsid w:val="0066205B"/>
    <w:rsid w:val="0066365D"/>
    <w:rsid w:val="006660F2"/>
    <w:rsid w:val="00671855"/>
    <w:rsid w:val="006819F8"/>
    <w:rsid w:val="006C6291"/>
    <w:rsid w:val="006E6884"/>
    <w:rsid w:val="006F6D45"/>
    <w:rsid w:val="006F73DE"/>
    <w:rsid w:val="00706921"/>
    <w:rsid w:val="00725621"/>
    <w:rsid w:val="0072580B"/>
    <w:rsid w:val="00727ADC"/>
    <w:rsid w:val="007317C4"/>
    <w:rsid w:val="00753DD9"/>
    <w:rsid w:val="00754604"/>
    <w:rsid w:val="0076266A"/>
    <w:rsid w:val="00777FCD"/>
    <w:rsid w:val="00780192"/>
    <w:rsid w:val="00782D82"/>
    <w:rsid w:val="007A42CC"/>
    <w:rsid w:val="007B302F"/>
    <w:rsid w:val="007B5C10"/>
    <w:rsid w:val="007C5EB3"/>
    <w:rsid w:val="007C7471"/>
    <w:rsid w:val="008017FE"/>
    <w:rsid w:val="00802E88"/>
    <w:rsid w:val="008074FC"/>
    <w:rsid w:val="00826802"/>
    <w:rsid w:val="00840C06"/>
    <w:rsid w:val="00872EF0"/>
    <w:rsid w:val="0088363A"/>
    <w:rsid w:val="008A2FCC"/>
    <w:rsid w:val="008A30CF"/>
    <w:rsid w:val="00906944"/>
    <w:rsid w:val="00916919"/>
    <w:rsid w:val="00926D7E"/>
    <w:rsid w:val="009526A0"/>
    <w:rsid w:val="0097355C"/>
    <w:rsid w:val="009763C9"/>
    <w:rsid w:val="00977AEE"/>
    <w:rsid w:val="0098708C"/>
    <w:rsid w:val="009973C3"/>
    <w:rsid w:val="009B3257"/>
    <w:rsid w:val="009C0FB1"/>
    <w:rsid w:val="009E5DA5"/>
    <w:rsid w:val="00A21EF0"/>
    <w:rsid w:val="00A36124"/>
    <w:rsid w:val="00A40D30"/>
    <w:rsid w:val="00A513CD"/>
    <w:rsid w:val="00A54C82"/>
    <w:rsid w:val="00A81199"/>
    <w:rsid w:val="00A9415F"/>
    <w:rsid w:val="00AB5BA8"/>
    <w:rsid w:val="00AC667A"/>
    <w:rsid w:val="00AD56CE"/>
    <w:rsid w:val="00AE4BDC"/>
    <w:rsid w:val="00B15D5A"/>
    <w:rsid w:val="00B335EB"/>
    <w:rsid w:val="00B40595"/>
    <w:rsid w:val="00B42D7A"/>
    <w:rsid w:val="00B42E5A"/>
    <w:rsid w:val="00B56A52"/>
    <w:rsid w:val="00B6458A"/>
    <w:rsid w:val="00B73113"/>
    <w:rsid w:val="00B777AC"/>
    <w:rsid w:val="00B84C0F"/>
    <w:rsid w:val="00BB639A"/>
    <w:rsid w:val="00BC5F62"/>
    <w:rsid w:val="00BD70FA"/>
    <w:rsid w:val="00BD7794"/>
    <w:rsid w:val="00C03DC8"/>
    <w:rsid w:val="00C46B63"/>
    <w:rsid w:val="00C5094C"/>
    <w:rsid w:val="00C6171A"/>
    <w:rsid w:val="00C704EC"/>
    <w:rsid w:val="00C70B81"/>
    <w:rsid w:val="00C82E7E"/>
    <w:rsid w:val="00C9698F"/>
    <w:rsid w:val="00CA2017"/>
    <w:rsid w:val="00CE3A1C"/>
    <w:rsid w:val="00CE6934"/>
    <w:rsid w:val="00CF2712"/>
    <w:rsid w:val="00D15514"/>
    <w:rsid w:val="00D37D1E"/>
    <w:rsid w:val="00D4349D"/>
    <w:rsid w:val="00D53FEC"/>
    <w:rsid w:val="00D9137F"/>
    <w:rsid w:val="00DA2AD6"/>
    <w:rsid w:val="00DD0E15"/>
    <w:rsid w:val="00DF2105"/>
    <w:rsid w:val="00DF307B"/>
    <w:rsid w:val="00DF7CE7"/>
    <w:rsid w:val="00E04360"/>
    <w:rsid w:val="00E61C1D"/>
    <w:rsid w:val="00E62F41"/>
    <w:rsid w:val="00EA21EA"/>
    <w:rsid w:val="00EA4A43"/>
    <w:rsid w:val="00EA7827"/>
    <w:rsid w:val="00EB0151"/>
    <w:rsid w:val="00EB092C"/>
    <w:rsid w:val="00EB5DE1"/>
    <w:rsid w:val="00EF5DAF"/>
    <w:rsid w:val="00EF6F47"/>
    <w:rsid w:val="00F0454D"/>
    <w:rsid w:val="00F22915"/>
    <w:rsid w:val="00F250B0"/>
    <w:rsid w:val="00F25F7E"/>
    <w:rsid w:val="00F34ED3"/>
    <w:rsid w:val="00F363EB"/>
    <w:rsid w:val="00F41BC9"/>
    <w:rsid w:val="00F47334"/>
    <w:rsid w:val="00F63764"/>
    <w:rsid w:val="00F67F28"/>
    <w:rsid w:val="00F7052E"/>
    <w:rsid w:val="00F768CA"/>
    <w:rsid w:val="00F8245D"/>
    <w:rsid w:val="00F83769"/>
    <w:rsid w:val="00FA087C"/>
    <w:rsid w:val="00FA2D5F"/>
    <w:rsid w:val="00FA5EE2"/>
    <w:rsid w:val="00FB1DB2"/>
    <w:rsid w:val="00FB5543"/>
    <w:rsid w:val="00FC2790"/>
    <w:rsid w:val="00FD2DA0"/>
    <w:rsid w:val="00FE5C6C"/>
    <w:rsid w:val="2807621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57" v:ext="edit"/>
    <o:shapelayout v:ext="edit">
      <o:idmap data="2" v:ext="edit"/>
    </o:shapelayout>
  </w:shapeDefaults>
  <w:decimalSymbol w:val="."/>
  <w:listSeparator w:val=","/>
</w:settings>
</file>

<file path=word\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cs="Times New Roman" w:eastAsia="PMingLiU" w:hAnsi="Times New Roman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/>
    <w:lsdException w:name="caption" w:qFormat="1" w:semiHidden="1" w:unhideWhenUsed="1"/>
    <w:lsdException w:name="footnote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 w:uiPriority="99"/>
    <w:lsdException w:name="Quote" w:qFormat="1" w:uiPriority="99"/>
    <w:lsdException w:name="Intense Quote" w:qFormat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pPr>
      <w:spacing w:after="60" w:before="0" w:line="288" w:lineRule="auto"/>
      <w:jc w:val="both"/>
    </w:pPr>
    <w:rPr>
      <w:rFonts w:ascii="Arial" w:cs="Arial" w:eastAsia="Calibri" w:hAnsi="Arial"/>
      <w:color w:val="1F2937"/>
      <w:sz w:val="22"/>
      <w:szCs w:val="22"/>
      <w:lang w:eastAsia="en-US"/>
    </w:rPr>
  </w:style>
  <w:style w:styleId="1" w:type="paragraph">
    <w:name w:val="heading 1"/>
    <w:basedOn w:val="a"/>
    <w:next w:val="FirstParagraph"/>
    <w:qFormat/>
    <w:pPr>
      <w:keepNext/>
      <w:numPr>
        <w:numId w:val="1"/>
      </w:numPr>
      <w:spacing w:after="120" w:before="320" w:line="288" w:lineRule="auto"/>
      <w:jc w:val="left"/>
      <w:outlineLvl w:val="0"/>
    </w:pPr>
    <w:rPr>
      <w:rFonts w:ascii="Arial" w:cs="Arial" w:eastAsia="Calibri" w:hAnsi="Arial"/>
      <w:b/>
      <w:color w:val="1D4E89"/>
      <w:sz w:val="30"/>
      <w:szCs w:val="30"/>
    </w:rPr>
  </w:style>
  <w:style w:styleId="2" w:type="paragraph">
    <w:name w:val="heading 2"/>
    <w:basedOn w:val="a"/>
    <w:next w:val="FirstParagraph"/>
    <w:qFormat/>
    <w:pPr>
      <w:keepNext/>
      <w:numPr>
        <w:ilvl w:val="1"/>
        <w:numId w:val="1"/>
      </w:numPr>
      <w:spacing w:after="100" w:before="220" w:line="288" w:lineRule="auto"/>
      <w:jc w:val="left"/>
      <w:outlineLvl w:val="1"/>
    </w:pPr>
    <w:rPr>
      <w:rFonts w:ascii="Arial" w:cs="Arial" w:eastAsia="Calibri" w:hAnsi="Arial"/>
      <w:b/>
      <w:color w:val="1D4E89"/>
      <w:sz w:val="26"/>
      <w:szCs w:val="26"/>
    </w:rPr>
  </w:style>
  <w:style w:styleId="3" w:type="paragraph">
    <w:name w:val="heading 3"/>
    <w:basedOn w:val="a"/>
    <w:next w:val="FirstParagraph"/>
    <w:qFormat/>
    <w:pPr>
      <w:keepNext/>
      <w:numPr>
        <w:ilvl w:val="2"/>
        <w:numId w:val="1"/>
      </w:numPr>
      <w:spacing w:after="80" w:before="160" w:line="288" w:lineRule="auto"/>
      <w:jc w:val="left"/>
      <w:outlineLvl w:val="2"/>
    </w:pPr>
    <w:rPr>
      <w:rFonts w:ascii="Arial" w:cs="Arial" w:eastAsia="Calibri" w:hAnsi="Arial"/>
      <w:b/>
      <w:color w:val="2F5F98"/>
      <w:sz w:val="24"/>
      <w:szCs w:val="24"/>
    </w:rPr>
  </w:style>
  <w:style w:styleId="4" w:type="paragraph">
    <w:name w:val="heading 4"/>
    <w:basedOn w:val="a"/>
    <w:next w:val="a"/>
    <w:qFormat/>
    <w:pPr>
      <w:keepNext/>
      <w:numPr>
        <w:ilvl w:val="3"/>
        <w:numId w:val="1"/>
      </w:numPr>
      <w:spacing w:after="40" w:before="40"/>
      <w:ind w:firstLine="0" w:left="284"/>
      <w:outlineLvl w:val="3"/>
    </w:pPr>
    <w:rPr>
      <w:i/>
      <w:iCs/>
      <w:szCs w:val="18"/>
      <w:lang w:eastAsia="zh-TW"/>
    </w:rPr>
  </w:style>
  <w:style w:styleId="5" w:type="paragraph">
    <w:name w:val="heading 5"/>
    <w:basedOn w:val="a"/>
    <w:next w:val="a"/>
    <w:qFormat/>
    <w:pPr>
      <w:numPr>
        <w:ilvl w:val="4"/>
        <w:numId w:val="1"/>
      </w:numPr>
      <w:spacing w:after="60" w:before="240"/>
      <w:outlineLvl w:val="4"/>
    </w:pPr>
    <w:rPr>
      <w:sz w:val="18"/>
      <w:szCs w:val="18"/>
    </w:rPr>
  </w:style>
  <w:style w:styleId="6" w:type="paragraph">
    <w:name w:val="heading 6"/>
    <w:basedOn w:val="a"/>
    <w:next w:val="a"/>
    <w:qFormat/>
    <w:pPr>
      <w:numPr>
        <w:ilvl w:val="5"/>
        <w:numId w:val="1"/>
      </w:numPr>
      <w:spacing w:after="60" w:before="240"/>
      <w:outlineLvl w:val="5"/>
    </w:pPr>
    <w:rPr>
      <w:i/>
      <w:iCs/>
      <w:sz w:val="16"/>
      <w:szCs w:val="16"/>
    </w:rPr>
  </w:style>
  <w:style w:styleId="7" w:type="paragraph">
    <w:name w:val="heading 7"/>
    <w:basedOn w:val="a"/>
    <w:next w:val="a"/>
    <w:qFormat/>
    <w:pPr>
      <w:numPr>
        <w:ilvl w:val="6"/>
        <w:numId w:val="1"/>
      </w:numPr>
      <w:spacing w:after="60" w:before="240"/>
      <w:outlineLvl w:val="6"/>
    </w:pPr>
    <w:rPr>
      <w:sz w:val="16"/>
      <w:szCs w:val="16"/>
    </w:rPr>
  </w:style>
  <w:style w:styleId="8" w:type="paragraph">
    <w:name w:val="heading 8"/>
    <w:basedOn w:val="a"/>
    <w:next w:val="a"/>
    <w:qFormat/>
    <w:pPr>
      <w:numPr>
        <w:ilvl w:val="7"/>
        <w:numId w:val="1"/>
      </w:numPr>
      <w:spacing w:after="60" w:before="240"/>
      <w:outlineLvl w:val="7"/>
    </w:pPr>
    <w:rPr>
      <w:i/>
      <w:iCs/>
      <w:sz w:val="16"/>
      <w:szCs w:val="16"/>
    </w:rPr>
  </w:style>
  <w:style w:styleId="9" w:type="paragraph">
    <w:name w:val="heading 9"/>
    <w:basedOn w:val="a"/>
    <w:next w:val="a"/>
    <w:qFormat/>
    <w:pPr>
      <w:numPr>
        <w:ilvl w:val="8"/>
        <w:numId w:val="1"/>
      </w:numPr>
      <w:spacing w:after="60" w:before="240"/>
      <w:outlineLvl w:val="8"/>
    </w:pPr>
    <w:rPr>
      <w:sz w:val="16"/>
      <w:szCs w:val="16"/>
    </w:rPr>
  </w:style>
  <w:style w:default="1" w:styleId="a0" w:type="character">
    <w:name w:val="Default Paragraph Font"/>
    <w:semiHidden/>
  </w:style>
  <w:style w:default="1" w:styleId="a1" w:type="table">
    <w:name w:val="Normal Table"/>
    <w:semiHidden/>
    <w:tblPr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footnote reference"/>
    <w:semiHidden/>
    <w:rPr>
      <w:vertAlign w:val="superscript"/>
    </w:rPr>
  </w:style>
  <w:style w:styleId="a4" w:type="character">
    <w:name w:val="page number"/>
    <w:basedOn w:val="a0"/>
  </w:style>
  <w:style w:styleId="a5" w:type="character">
    <w:name w:val="FollowedHyperlink"/>
    <w:rPr>
      <w:color w:val="800080"/>
      <w:u w:val="single"/>
    </w:rPr>
  </w:style>
  <w:style w:styleId="a6" w:type="character">
    <w:name w:val="Hyperlink"/>
    <w:rPr>
      <w:color w:val="0000FF"/>
      <w:u w:val="single"/>
    </w:rPr>
  </w:style>
  <w:style w:customStyle="1" w:styleId="MemberType" w:type="character">
    <w:name w:val="MemberType"/>
    <w:rPr>
      <w:rFonts w:ascii="Times New Roman" w:cs="Times New Roman" w:hAnsi="Times New Roman"/>
      <w:i/>
      <w:iCs/>
      <w:sz w:val="22"/>
      <w:szCs w:val="22"/>
    </w:rPr>
  </w:style>
  <w:style w:customStyle="1" w:styleId="figurecaptionChar" w:type="character">
    <w:name w:val="figure caption Char"/>
    <w:basedOn w:val="FigureCaptionChar0"/>
    <w:link w:val="figurecaption"/>
    <w:rPr>
      <w:sz w:val="16"/>
      <w:szCs w:val="16"/>
      <w:lang w:eastAsia="en-US"/>
    </w:rPr>
  </w:style>
  <w:style w:customStyle="1" w:styleId="FigureCaptionChar0" w:type="character">
    <w:name w:val="Figure Caption Char"/>
    <w:link w:val="FigureCaption0"/>
    <w:rPr>
      <w:sz w:val="16"/>
      <w:szCs w:val="16"/>
      <w:lang w:eastAsia="en-US"/>
    </w:rPr>
  </w:style>
  <w:style w:styleId="a7" w:type="paragraph">
    <w:name w:val="Title"/>
    <w:basedOn w:val="a"/>
    <w:next w:val="FirstParagraph"/>
    <w:qFormat/>
    <w:pPr>
      <w:spacing w:after="240" w:before="0" w:line="360" w:lineRule="auto"/>
      <w:jc w:val="center"/>
    </w:pPr>
    <w:rPr>
      <w:rFonts w:ascii="Arial" w:cs="Arial" w:eastAsia="Calibri" w:hAnsi="Arial"/>
      <w:b/>
      <w:color w:val="1F2937"/>
      <w:sz w:val="36"/>
      <w:szCs w:val="36"/>
    </w:rPr>
  </w:style>
  <w:style w:styleId="a8" w:type="paragraph">
    <w:name w:val="footnote text"/>
    <w:basedOn w:val="a"/>
    <w:semiHidden/>
    <w:pPr>
      <w:ind w:firstLine="202"/>
      <w:jc w:val="both"/>
    </w:pPr>
    <w:rPr>
      <w:sz w:val="16"/>
      <w:szCs w:val="16"/>
    </w:rPr>
  </w:style>
  <w:style w:styleId="a9" w:type="paragraph">
    <w:name w:val="Body Text Indent"/>
    <w:basedOn w:val="a"/>
    <w:pPr>
      <w:ind w:hanging="630" w:left="630"/>
    </w:pPr>
    <w:rPr>
      <w:szCs w:val="24"/>
    </w:rPr>
  </w:style>
  <w:style w:styleId="aa" w:type="paragraph">
    <w:name w:val="footer"/>
    <w:basedOn w:val="a"/>
    <w:pPr>
      <w:tabs>
        <w:tab w:pos="4320" w:val="center"/>
        <w:tab w:pos="8640" w:val="right"/>
      </w:tabs>
    </w:pPr>
  </w:style>
  <w:style w:styleId="ab" w:type="paragraph">
    <w:name w:val="header"/>
    <w:basedOn w:val="a"/>
    <w:pPr>
      <w:tabs>
        <w:tab w:pos="4320" w:val="center"/>
        <w:tab w:pos="8640" w:val="right"/>
      </w:tabs>
    </w:pPr>
  </w:style>
  <w:style w:customStyle="1" w:styleId="Abstract" w:type="paragraph">
    <w:name w:val="Abstract"/>
    <w:basedOn w:val="a"/>
    <w:next w:val="a"/>
    <w:pPr>
      <w:spacing w:before="20"/>
      <w:ind w:firstLine="202"/>
      <w:jc w:val="both"/>
    </w:pPr>
    <w:rPr>
      <w:b/>
      <w:bCs/>
      <w:sz w:val="18"/>
      <w:szCs w:val="18"/>
    </w:rPr>
  </w:style>
  <w:style w:customStyle="1" w:styleId="Equation" w:type="paragraph">
    <w:name w:val="Equation"/>
    <w:basedOn w:val="a"/>
    <w:next w:val="a"/>
    <w:pPr>
      <w:widowControl w:val="0"/>
      <w:tabs>
        <w:tab w:pos="5040" w:val="right"/>
      </w:tabs>
      <w:spacing w:line="252" w:lineRule="auto"/>
      <w:jc w:val="both"/>
    </w:pPr>
  </w:style>
  <w:style w:customStyle="1" w:styleId="References" w:type="paragraph">
    <w:name w:val="References"/>
    <w:basedOn w:val="a"/>
    <w:pPr>
      <w:numPr>
        <w:numId w:val="2"/>
      </w:numPr>
      <w:tabs>
        <w:tab w:pos="360" w:val="left"/>
      </w:tabs>
      <w:jc w:val="both"/>
    </w:pPr>
    <w:rPr>
      <w:sz w:val="16"/>
      <w:szCs w:val="16"/>
    </w:rPr>
  </w:style>
  <w:style w:customStyle="1" w:styleId="Authors" w:type="paragraph">
    <w:name w:val="Authors"/>
    <w:basedOn w:val="a"/>
    <w:next w:val="a"/>
    <w:pPr>
      <w:framePr w:hAnchor="page" w:hSpace="187" w:vAnchor="text" w:vSpace="187" w:w="9072" w:wrap="notBeside" w:xAlign="center" w:y="1"/>
      <w:spacing w:after="320"/>
      <w:jc w:val="center"/>
    </w:pPr>
    <w:rPr>
      <w:sz w:val="22"/>
      <w:szCs w:val="22"/>
    </w:rPr>
  </w:style>
  <w:style w:customStyle="1" w:styleId="TableTitle" w:type="paragraph">
    <w:name w:val="Table Title"/>
    <w:basedOn w:val="a"/>
    <w:next w:val="Compact"/>
    <w:pPr>
      <w:spacing w:after="40" w:before="60" w:line="240" w:lineRule="auto"/>
      <w:jc w:val="left"/>
    </w:pPr>
    <w:rPr>
      <w:rFonts w:ascii="Arial" w:cs="Arial" w:eastAsia="Calibri" w:hAnsi="Arial"/>
      <w:b/>
      <w:color w:val="4B5563"/>
      <w:sz w:val="20"/>
      <w:szCs w:val="20"/>
    </w:rPr>
  </w:style>
  <w:style w:customStyle="1" w:styleId="Text" w:type="paragraph">
    <w:name w:val="Text"/>
    <w:basedOn w:val="a"/>
    <w:pPr>
      <w:widowControl w:val="0"/>
      <w:spacing w:line="252" w:lineRule="auto"/>
      <w:ind w:firstLine="202"/>
      <w:jc w:val="both"/>
    </w:pPr>
  </w:style>
  <w:style w:customStyle="1" w:styleId="IndexTerms" w:type="paragraph">
    <w:name w:val="IndexTerms"/>
    <w:basedOn w:val="a"/>
    <w:next w:val="a"/>
    <w:pPr>
      <w:ind w:firstLine="202"/>
      <w:jc w:val="both"/>
    </w:pPr>
    <w:rPr>
      <w:b/>
      <w:bCs/>
      <w:sz w:val="18"/>
      <w:szCs w:val="18"/>
    </w:rPr>
  </w:style>
  <w:style w:customStyle="1" w:styleId="FigureCaption0" w:type="paragraph">
    <w:name w:val="Figure Caption"/>
    <w:basedOn w:val="a"/>
    <w:link w:val="FigureCaptionChar0"/>
    <w:pPr>
      <w:spacing w:after="60" w:before="40" w:line="240" w:lineRule="auto"/>
      <w:jc w:val="center"/>
    </w:pPr>
    <w:rPr>
      <w:rFonts w:ascii="Arial" w:cs="Arial" w:eastAsia="Calibri" w:hAnsi="Arial"/>
      <w:i/>
      <w:color w:val="4B5563"/>
      <w:sz w:val="20"/>
      <w:szCs w:val="20"/>
    </w:rPr>
  </w:style>
  <w:style w:customStyle="1" w:styleId="ReferenceHead" w:type="paragraph">
    <w:name w:val="Reference Head"/>
    <w:basedOn w:val="1"/>
    <w:pPr>
      <w:numPr>
        <w:numId w:val="0"/>
      </w:numPr>
    </w:pPr>
  </w:style>
  <w:style w:customStyle="1" w:styleId="figurecaption" w:type="paragraph">
    <w:name w:val="figure caption"/>
    <w:basedOn w:val="FigureCaption0"/>
    <w:link w:val="figurecaptionChar"/>
    <w:qFormat/>
    <w:pPr>
      <w:jc w:val="center"/>
    </w:pPr>
  </w:style>
  <w:style w:styleId="ac" w:type="table">
    <w:name w:val="Table Grid"/>
    <w:basedOn w:val="a1"/>
    <w:tblPr>
      <w:tblBorders>
        <w:top w:color="B8C2CC" w:space="0" w:sz="6" w:val="single"/>
        <w:left w:color="B8C2CC" w:space="0" w:sz="6" w:val="single"/>
        <w:bottom w:color="B8C2CC" w:space="0" w:sz="6" w:val="single"/>
        <w:right w:color="B8C2CC" w:space="0" w:sz="6" w:val="single"/>
        <w:insideH w:color="D2D6DC" w:space="0" w:sz="6" w:val="single"/>
        <w:insideV w:color="D2D6DC" w:space="0" w:sz="6" w:val="single"/>
      </w:tblBorders>
      <w:tblCellMar>
        <w:top w:type="dxa" w:w="60"/>
        <w:left w:type="dxa" w:w="120"/>
        <w:bottom w:type="dxa" w:w="60"/>
        <w:right w:type="dxa" w:w="120"/>
      </w:tblCellMar>
    </w:tblPr>
  </w:style>
  <w:style w:customStyle="1" w:styleId="FirstParagraph" w:type="paragraph">
    <w:name w:val="First Paragraph"/>
    <w:basedOn w:val="a"/>
    <w:next w:val="a"/>
    <w:qFormat/>
    <w:pPr>
      <w:spacing w:after="60" w:before="0" w:line="288" w:lineRule="auto"/>
      <w:jc w:val="both"/>
    </w:pPr>
    <w:rPr>
      <w:rFonts w:ascii="Arial" w:cs="Arial" w:eastAsia="Calibri" w:hAnsi="Arial"/>
      <w:color w:val="1F2937"/>
      <w:sz w:val="22"/>
      <w:szCs w:val="22"/>
    </w:rPr>
  </w:style>
  <w:style w:customStyle="1" w:styleId="Compact" w:type="paragraph">
    <w:name w:val="Compact"/>
    <w:basedOn w:val="a"/>
    <w:qFormat/>
    <w:pPr>
      <w:spacing w:after="0" w:before="0" w:line="240" w:lineRule="auto"/>
      <w:jc w:val="left"/>
    </w:pPr>
    <w:rPr>
      <w:rFonts w:ascii="Arial" w:cs="Arial" w:eastAsia="Calibri" w:hAnsi="Arial"/>
      <w:color w:val="1F2937"/>
      <w:sz w:val="20"/>
      <w:szCs w:val="20"/>
    </w:rPr>
  </w:style>
  <w:style w:customStyle="1" w:styleId="SourceCode" w:type="paragraph">
    <w:name w:val="Source Code"/>
    <w:basedOn w:val="a"/>
    <w:next w:val="a"/>
    <w:link w:val="VerbatimChar"/>
    <w:pPr>
      <w:spacing w:after="80" w:before="40" w:line="252" w:lineRule="auto"/>
      <w:ind w:left="180" w:right="180"/>
      <w:shd w:color="auto" w:fill="F5F7FA" w:val="clear"/>
      <w:wordWrap w:val="off"/>
    </w:pPr>
    <w:rPr>
      <w:rFonts w:ascii="Consolas" w:cs="Consolas" w:eastAsia="Consolas" w:hAnsi="Consolas"/>
      <w:color w:val="1F2937"/>
      <w:sz w:val="20"/>
      <w:szCs w:val="20"/>
    </w:rPr>
  </w:style>
  <w:style w:customStyle="1" w:styleId="VerbatimChar" w:type="character">
    <w:name w:val="Verbatim Char"/>
    <w:basedOn w:val="a0"/>
    <w:rPr>
      <w:rFonts w:ascii="Consolas" w:cs="Consolas" w:eastAsia="Consolas" w:hAnsi="Consolas"/>
      <w:color w:val="1F2937"/>
      <w:sz w:val="20"/>
      <w:szCs w:val="20"/>
    </w:r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</w:styles>
</file>

<file path=word\theme\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\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</w:webSettings>
</file>